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EDFAE" w14:textId="0787317E" w:rsidR="00266C81" w:rsidRPr="00266C81" w:rsidRDefault="00266C81" w:rsidP="00266C81">
      <w:pPr>
        <w:pStyle w:val="H1"/>
        <w:jc w:val="left"/>
        <w:rPr>
          <w:b w:val="0"/>
          <w:caps w:val="0"/>
          <w:sz w:val="24"/>
          <w:szCs w:val="24"/>
        </w:rPr>
      </w:pPr>
      <w:r>
        <w:rPr>
          <w:caps w:val="0"/>
          <w:sz w:val="24"/>
          <w:szCs w:val="24"/>
        </w:rPr>
        <w:t xml:space="preserve">Citation: </w:t>
      </w:r>
      <w:r w:rsidRPr="00266C81">
        <w:rPr>
          <w:b w:val="0"/>
          <w:caps w:val="0"/>
          <w:sz w:val="24"/>
          <w:szCs w:val="24"/>
        </w:rPr>
        <w:t xml:space="preserve">Crookston, </w:t>
      </w:r>
      <w:r w:rsidRPr="00266C81">
        <w:rPr>
          <w:b w:val="0"/>
          <w:caps w:val="0"/>
          <w:sz w:val="24"/>
          <w:szCs w:val="24"/>
        </w:rPr>
        <w:t>B.S.</w:t>
      </w:r>
      <w:r w:rsidRPr="00266C81">
        <w:rPr>
          <w:b w:val="0"/>
          <w:caps w:val="0"/>
          <w:sz w:val="24"/>
          <w:szCs w:val="24"/>
        </w:rPr>
        <w:t>,</w:t>
      </w:r>
      <w:r w:rsidRPr="00266C81">
        <w:rPr>
          <w:b w:val="0"/>
          <w:caps w:val="0"/>
          <w:sz w:val="24"/>
          <w:szCs w:val="24"/>
        </w:rPr>
        <w:t xml:space="preserve"> </w:t>
      </w:r>
      <w:r w:rsidRPr="00266C81">
        <w:rPr>
          <w:b w:val="0"/>
          <w:caps w:val="0"/>
          <w:sz w:val="24"/>
          <w:szCs w:val="24"/>
        </w:rPr>
        <w:t xml:space="preserve">M.A. Yost, M. Bowman, K. </w:t>
      </w:r>
      <w:proofErr w:type="spellStart"/>
      <w:r w:rsidRPr="00266C81">
        <w:rPr>
          <w:b w:val="0"/>
          <w:caps w:val="0"/>
          <w:sz w:val="24"/>
          <w:szCs w:val="24"/>
        </w:rPr>
        <w:t>Veum</w:t>
      </w:r>
      <w:proofErr w:type="spellEnd"/>
      <w:r>
        <w:rPr>
          <w:b w:val="0"/>
          <w:caps w:val="0"/>
          <w:sz w:val="24"/>
          <w:szCs w:val="24"/>
        </w:rPr>
        <w:t>,</w:t>
      </w:r>
      <w:r w:rsidRPr="00266C81">
        <w:rPr>
          <w:b w:val="0"/>
          <w:caps w:val="0"/>
          <w:sz w:val="24"/>
          <w:szCs w:val="24"/>
        </w:rPr>
        <w:t xml:space="preserve"> and J.R. Stevens. 2023. Microbial respiration gives early indication of soil health improvement following cover crops. Journal of Soil and Water </w:t>
      </w:r>
      <w:bookmarkStart w:id="0" w:name="_GoBack"/>
      <w:bookmarkEnd w:id="0"/>
      <w:r w:rsidRPr="00266C81">
        <w:rPr>
          <w:b w:val="0"/>
          <w:caps w:val="0"/>
          <w:sz w:val="24"/>
          <w:szCs w:val="24"/>
        </w:rPr>
        <w:t>Conservation 78(3). https://doi.org/10.2489/jswc.2023.00015.</w:t>
      </w:r>
    </w:p>
    <w:p w14:paraId="030BC618" w14:textId="17136F19" w:rsidR="0035031A" w:rsidRDefault="0035031A" w:rsidP="0035031A">
      <w:pPr>
        <w:pStyle w:val="H1"/>
        <w:rPr>
          <w:caps w:val="0"/>
        </w:rPr>
      </w:pPr>
      <w:r>
        <w:rPr>
          <w:caps w:val="0"/>
        </w:rPr>
        <w:t>Supplemental material</w:t>
      </w:r>
    </w:p>
    <w:p w14:paraId="5F99E04E" w14:textId="4ED522DC" w:rsidR="0035031A" w:rsidRDefault="0035031A" w:rsidP="0035031A">
      <w:pPr>
        <w:pStyle w:val="H1"/>
        <w:jc w:val="left"/>
        <w:rPr>
          <w:b w:val="0"/>
          <w:bCs/>
          <w:caps w:val="0"/>
          <w:sz w:val="24"/>
          <w:szCs w:val="24"/>
        </w:rPr>
      </w:pPr>
      <w:r>
        <w:rPr>
          <w:b w:val="0"/>
          <w:bCs/>
          <w:caps w:val="0"/>
          <w:sz w:val="24"/>
          <w:szCs w:val="24"/>
        </w:rPr>
        <w:t xml:space="preserve">Crookston et al. Microbial respiration give early indication of soil health improvement following cover crops. Journal of Soil and Water Conservation. </w:t>
      </w:r>
      <w:r w:rsidRPr="0035031A">
        <w:rPr>
          <w:b w:val="0"/>
          <w:bCs/>
          <w:caps w:val="0"/>
          <w:sz w:val="24"/>
          <w:szCs w:val="24"/>
        </w:rPr>
        <w:t>doi:10.2489/jswc.2023.00015</w:t>
      </w:r>
      <w:r>
        <w:rPr>
          <w:b w:val="0"/>
          <w:bCs/>
          <w:caps w:val="0"/>
          <w:sz w:val="24"/>
          <w:szCs w:val="24"/>
        </w:rPr>
        <w:t>.</w:t>
      </w:r>
    </w:p>
    <w:p w14:paraId="61A73487" w14:textId="25DEA3BE" w:rsidR="0035031A" w:rsidRDefault="0035031A" w:rsidP="0035031A">
      <w:pPr>
        <w:pStyle w:val="H1"/>
        <w:jc w:val="left"/>
        <w:rPr>
          <w:caps w:val="0"/>
          <w:sz w:val="24"/>
          <w:szCs w:val="24"/>
        </w:rPr>
      </w:pPr>
      <w:r w:rsidRPr="0035031A">
        <w:rPr>
          <w:caps w:val="0"/>
          <w:sz w:val="24"/>
          <w:szCs w:val="24"/>
        </w:rPr>
        <w:t>Table S1</w:t>
      </w:r>
    </w:p>
    <w:p w14:paraId="0941F2FD" w14:textId="512BAABE" w:rsidR="0035031A" w:rsidRPr="00856F67" w:rsidRDefault="003B356E" w:rsidP="00856F67">
      <w:pPr>
        <w:pStyle w:val="TableTitle"/>
        <w:spacing w:before="0" w:after="0"/>
        <w:ind w:right="274"/>
        <w:rPr>
          <w:b w:val="0"/>
          <w:bCs/>
          <w:sz w:val="24"/>
          <w:szCs w:val="24"/>
        </w:rPr>
      </w:pPr>
      <w:r>
        <w:rPr>
          <w:b w:val="0"/>
          <w:bCs/>
          <w:sz w:val="24"/>
          <w:szCs w:val="24"/>
        </w:rPr>
        <w:t xml:space="preserve">Years </w:t>
      </w:r>
      <w:r w:rsidR="00405B77">
        <w:rPr>
          <w:b w:val="0"/>
          <w:bCs/>
          <w:sz w:val="24"/>
          <w:szCs w:val="24"/>
        </w:rPr>
        <w:t xml:space="preserve">when the initial observation (IO) and </w:t>
      </w:r>
      <w:r w:rsidR="0044350D">
        <w:rPr>
          <w:b w:val="0"/>
          <w:bCs/>
          <w:sz w:val="24"/>
          <w:szCs w:val="24"/>
        </w:rPr>
        <w:t xml:space="preserve">additional </w:t>
      </w:r>
      <w:r w:rsidR="001E0254">
        <w:rPr>
          <w:b w:val="0"/>
          <w:bCs/>
          <w:sz w:val="24"/>
          <w:szCs w:val="24"/>
        </w:rPr>
        <w:t xml:space="preserve">soil samples (S) were collected from </w:t>
      </w:r>
      <w:r w:rsidR="00856F67" w:rsidRPr="007B5C79">
        <w:rPr>
          <w:b w:val="0"/>
          <w:bCs/>
          <w:sz w:val="24"/>
          <w:szCs w:val="24"/>
        </w:rPr>
        <w:t xml:space="preserve">Soil </w:t>
      </w:r>
      <w:r>
        <w:rPr>
          <w:b w:val="0"/>
          <w:bCs/>
          <w:sz w:val="24"/>
          <w:szCs w:val="24"/>
        </w:rPr>
        <w:t>H</w:t>
      </w:r>
      <w:r w:rsidR="00856F67" w:rsidRPr="007B5C79">
        <w:rPr>
          <w:b w:val="0"/>
          <w:bCs/>
          <w:sz w:val="24"/>
          <w:szCs w:val="24"/>
        </w:rPr>
        <w:t xml:space="preserve">ealth </w:t>
      </w:r>
      <w:r w:rsidR="00856F67">
        <w:rPr>
          <w:b w:val="0"/>
          <w:bCs/>
          <w:sz w:val="24"/>
          <w:szCs w:val="24"/>
        </w:rPr>
        <w:t>Partnership site</w:t>
      </w:r>
      <w:r w:rsidR="001E0254">
        <w:rPr>
          <w:b w:val="0"/>
          <w:bCs/>
          <w:sz w:val="24"/>
          <w:szCs w:val="24"/>
        </w:rPr>
        <w:t>s.</w:t>
      </w:r>
      <w:r w:rsidR="00E27B42">
        <w:rPr>
          <w:b w:val="0"/>
          <w:bCs/>
          <w:sz w:val="24"/>
          <w:szCs w:val="24"/>
        </w:rPr>
        <w:t xml:space="preserve"> </w:t>
      </w:r>
      <w:r w:rsidR="009374A8">
        <w:rPr>
          <w:b w:val="0"/>
          <w:bCs/>
          <w:sz w:val="24"/>
          <w:szCs w:val="24"/>
        </w:rPr>
        <w:t xml:space="preserve">The </w:t>
      </w:r>
      <w:r w:rsidR="00E27B42">
        <w:rPr>
          <w:b w:val="0"/>
          <w:bCs/>
          <w:sz w:val="24"/>
          <w:szCs w:val="24"/>
        </w:rPr>
        <w:t>site-year</w:t>
      </w:r>
      <w:r w:rsidR="009374A8">
        <w:rPr>
          <w:b w:val="0"/>
          <w:bCs/>
          <w:sz w:val="24"/>
          <w:szCs w:val="24"/>
        </w:rPr>
        <w:t xml:space="preserve"> count is also included.</w:t>
      </w:r>
      <w:r w:rsidR="00E27B42">
        <w:rPr>
          <w:b w:val="0"/>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180"/>
        <w:gridCol w:w="1180"/>
        <w:gridCol w:w="1180"/>
        <w:gridCol w:w="1180"/>
        <w:gridCol w:w="1180"/>
        <w:gridCol w:w="1180"/>
      </w:tblGrid>
      <w:tr w:rsidR="0035031A" w:rsidRPr="00E8379D" w14:paraId="4B65F199" w14:textId="77777777" w:rsidTr="00E8379D">
        <w:trPr>
          <w:trHeight w:val="145"/>
        </w:trPr>
        <w:tc>
          <w:tcPr>
            <w:tcW w:w="1559" w:type="dxa"/>
            <w:tcBorders>
              <w:top w:val="single" w:sz="4" w:space="0" w:color="auto"/>
              <w:bottom w:val="single" w:sz="4" w:space="0" w:color="auto"/>
            </w:tcBorders>
            <w:noWrap/>
            <w:hideMark/>
          </w:tcPr>
          <w:p w14:paraId="5BB8096A" w14:textId="77777777" w:rsidR="0035031A" w:rsidRPr="00E8379D" w:rsidRDefault="0035031A" w:rsidP="0035031A">
            <w:pPr>
              <w:pStyle w:val="ParaText"/>
              <w:spacing w:before="0" w:line="240" w:lineRule="auto"/>
              <w:rPr>
                <w:b/>
                <w:bCs/>
                <w:sz w:val="21"/>
                <w:szCs w:val="21"/>
              </w:rPr>
            </w:pPr>
            <w:r w:rsidRPr="00E8379D">
              <w:rPr>
                <w:b/>
                <w:bCs/>
                <w:sz w:val="21"/>
                <w:szCs w:val="21"/>
              </w:rPr>
              <w:t>Site</w:t>
            </w:r>
          </w:p>
        </w:tc>
        <w:tc>
          <w:tcPr>
            <w:tcW w:w="1180" w:type="dxa"/>
            <w:tcBorders>
              <w:top w:val="single" w:sz="4" w:space="0" w:color="auto"/>
              <w:bottom w:val="single" w:sz="4" w:space="0" w:color="auto"/>
            </w:tcBorders>
            <w:noWrap/>
            <w:hideMark/>
          </w:tcPr>
          <w:p w14:paraId="3E4DFD4D" w14:textId="77777777" w:rsidR="0035031A" w:rsidRPr="00E8379D" w:rsidRDefault="0035031A" w:rsidP="0035031A">
            <w:pPr>
              <w:pStyle w:val="ParaText"/>
              <w:spacing w:before="0" w:line="240" w:lineRule="auto"/>
              <w:rPr>
                <w:b/>
                <w:bCs/>
                <w:sz w:val="21"/>
                <w:szCs w:val="21"/>
              </w:rPr>
            </w:pPr>
            <w:r w:rsidRPr="00E8379D">
              <w:rPr>
                <w:b/>
                <w:bCs/>
                <w:sz w:val="21"/>
                <w:szCs w:val="21"/>
              </w:rPr>
              <w:t>2014</w:t>
            </w:r>
          </w:p>
        </w:tc>
        <w:tc>
          <w:tcPr>
            <w:tcW w:w="1180" w:type="dxa"/>
            <w:tcBorders>
              <w:top w:val="single" w:sz="4" w:space="0" w:color="auto"/>
              <w:bottom w:val="single" w:sz="4" w:space="0" w:color="auto"/>
            </w:tcBorders>
            <w:noWrap/>
            <w:hideMark/>
          </w:tcPr>
          <w:p w14:paraId="50FB4BFD" w14:textId="77777777" w:rsidR="0035031A" w:rsidRPr="00E8379D" w:rsidRDefault="0035031A" w:rsidP="0035031A">
            <w:pPr>
              <w:pStyle w:val="ParaText"/>
              <w:spacing w:before="0" w:line="240" w:lineRule="auto"/>
              <w:rPr>
                <w:b/>
                <w:bCs/>
                <w:sz w:val="21"/>
                <w:szCs w:val="21"/>
              </w:rPr>
            </w:pPr>
            <w:r w:rsidRPr="00E8379D">
              <w:rPr>
                <w:b/>
                <w:bCs/>
                <w:sz w:val="21"/>
                <w:szCs w:val="21"/>
              </w:rPr>
              <w:t>2015</w:t>
            </w:r>
          </w:p>
        </w:tc>
        <w:tc>
          <w:tcPr>
            <w:tcW w:w="1180" w:type="dxa"/>
            <w:tcBorders>
              <w:top w:val="single" w:sz="4" w:space="0" w:color="auto"/>
              <w:bottom w:val="single" w:sz="4" w:space="0" w:color="auto"/>
            </w:tcBorders>
            <w:noWrap/>
            <w:hideMark/>
          </w:tcPr>
          <w:p w14:paraId="539EFAA8" w14:textId="77777777" w:rsidR="0035031A" w:rsidRPr="00E8379D" w:rsidRDefault="0035031A" w:rsidP="0035031A">
            <w:pPr>
              <w:pStyle w:val="ParaText"/>
              <w:spacing w:before="0" w:line="240" w:lineRule="auto"/>
              <w:rPr>
                <w:b/>
                <w:bCs/>
                <w:sz w:val="21"/>
                <w:szCs w:val="21"/>
              </w:rPr>
            </w:pPr>
            <w:r w:rsidRPr="00E8379D">
              <w:rPr>
                <w:b/>
                <w:bCs/>
                <w:sz w:val="21"/>
                <w:szCs w:val="21"/>
              </w:rPr>
              <w:t>2016</w:t>
            </w:r>
          </w:p>
        </w:tc>
        <w:tc>
          <w:tcPr>
            <w:tcW w:w="1180" w:type="dxa"/>
            <w:tcBorders>
              <w:top w:val="single" w:sz="4" w:space="0" w:color="auto"/>
              <w:bottom w:val="single" w:sz="4" w:space="0" w:color="auto"/>
            </w:tcBorders>
            <w:noWrap/>
            <w:hideMark/>
          </w:tcPr>
          <w:p w14:paraId="1502DF64" w14:textId="77777777" w:rsidR="0035031A" w:rsidRPr="00E8379D" w:rsidRDefault="0035031A" w:rsidP="0035031A">
            <w:pPr>
              <w:pStyle w:val="ParaText"/>
              <w:spacing w:before="0" w:line="240" w:lineRule="auto"/>
              <w:rPr>
                <w:b/>
                <w:bCs/>
                <w:sz w:val="21"/>
                <w:szCs w:val="21"/>
              </w:rPr>
            </w:pPr>
            <w:r w:rsidRPr="00E8379D">
              <w:rPr>
                <w:b/>
                <w:bCs/>
                <w:sz w:val="21"/>
                <w:szCs w:val="21"/>
              </w:rPr>
              <w:t>2017</w:t>
            </w:r>
          </w:p>
        </w:tc>
        <w:tc>
          <w:tcPr>
            <w:tcW w:w="1180" w:type="dxa"/>
            <w:tcBorders>
              <w:top w:val="single" w:sz="4" w:space="0" w:color="auto"/>
              <w:bottom w:val="single" w:sz="4" w:space="0" w:color="auto"/>
            </w:tcBorders>
            <w:noWrap/>
            <w:hideMark/>
          </w:tcPr>
          <w:p w14:paraId="2A40C96F" w14:textId="77777777" w:rsidR="0035031A" w:rsidRPr="00E8379D" w:rsidRDefault="0035031A" w:rsidP="0035031A">
            <w:pPr>
              <w:pStyle w:val="ParaText"/>
              <w:spacing w:before="0" w:line="240" w:lineRule="auto"/>
              <w:rPr>
                <w:b/>
                <w:bCs/>
                <w:sz w:val="21"/>
                <w:szCs w:val="21"/>
              </w:rPr>
            </w:pPr>
            <w:r w:rsidRPr="00E8379D">
              <w:rPr>
                <w:b/>
                <w:bCs/>
                <w:sz w:val="21"/>
                <w:szCs w:val="21"/>
              </w:rPr>
              <w:t>2018</w:t>
            </w:r>
          </w:p>
        </w:tc>
        <w:tc>
          <w:tcPr>
            <w:tcW w:w="1180" w:type="dxa"/>
            <w:tcBorders>
              <w:top w:val="single" w:sz="4" w:space="0" w:color="auto"/>
              <w:bottom w:val="single" w:sz="4" w:space="0" w:color="auto"/>
            </w:tcBorders>
            <w:noWrap/>
            <w:hideMark/>
          </w:tcPr>
          <w:p w14:paraId="127C7374" w14:textId="77777777" w:rsidR="0035031A" w:rsidRPr="00E8379D" w:rsidRDefault="0035031A" w:rsidP="0035031A">
            <w:pPr>
              <w:pStyle w:val="ParaText"/>
              <w:spacing w:before="0" w:line="240" w:lineRule="auto"/>
              <w:rPr>
                <w:b/>
                <w:bCs/>
                <w:sz w:val="21"/>
                <w:szCs w:val="21"/>
              </w:rPr>
            </w:pPr>
            <w:r w:rsidRPr="00E8379D">
              <w:rPr>
                <w:b/>
                <w:bCs/>
                <w:sz w:val="21"/>
                <w:szCs w:val="21"/>
              </w:rPr>
              <w:t>2019</w:t>
            </w:r>
          </w:p>
        </w:tc>
      </w:tr>
      <w:tr w:rsidR="0035031A" w:rsidRPr="00E8379D" w14:paraId="45C92B2F" w14:textId="77777777" w:rsidTr="00E8379D">
        <w:trPr>
          <w:trHeight w:val="145"/>
        </w:trPr>
        <w:tc>
          <w:tcPr>
            <w:tcW w:w="1559" w:type="dxa"/>
            <w:tcBorders>
              <w:top w:val="single" w:sz="4" w:space="0" w:color="auto"/>
            </w:tcBorders>
            <w:noWrap/>
            <w:hideMark/>
          </w:tcPr>
          <w:p w14:paraId="20F246DC" w14:textId="77777777" w:rsidR="0035031A" w:rsidRPr="00E8379D" w:rsidRDefault="0035031A" w:rsidP="00E8379D">
            <w:pPr>
              <w:pStyle w:val="ParaText"/>
              <w:spacing w:before="0" w:line="240" w:lineRule="auto"/>
              <w:ind w:firstLine="73"/>
              <w:rPr>
                <w:sz w:val="21"/>
                <w:szCs w:val="21"/>
              </w:rPr>
            </w:pPr>
            <w:r w:rsidRPr="00E8379D">
              <w:rPr>
                <w:sz w:val="21"/>
                <w:szCs w:val="21"/>
              </w:rPr>
              <w:t>1</w:t>
            </w:r>
          </w:p>
        </w:tc>
        <w:tc>
          <w:tcPr>
            <w:tcW w:w="1180" w:type="dxa"/>
            <w:tcBorders>
              <w:top w:val="single" w:sz="4" w:space="0" w:color="auto"/>
            </w:tcBorders>
            <w:noWrap/>
            <w:hideMark/>
          </w:tcPr>
          <w:p w14:paraId="09953C51" w14:textId="77777777" w:rsidR="0035031A" w:rsidRPr="00E8379D" w:rsidRDefault="0035031A" w:rsidP="0035031A">
            <w:pPr>
              <w:pStyle w:val="ParaText"/>
              <w:spacing w:before="0" w:line="240" w:lineRule="auto"/>
              <w:ind w:firstLine="180"/>
              <w:rPr>
                <w:sz w:val="21"/>
                <w:szCs w:val="21"/>
              </w:rPr>
            </w:pPr>
          </w:p>
        </w:tc>
        <w:tc>
          <w:tcPr>
            <w:tcW w:w="1180" w:type="dxa"/>
            <w:tcBorders>
              <w:top w:val="single" w:sz="4" w:space="0" w:color="auto"/>
            </w:tcBorders>
            <w:noWrap/>
            <w:hideMark/>
          </w:tcPr>
          <w:p w14:paraId="3D37B376"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tcBorders>
              <w:top w:val="single" w:sz="4" w:space="0" w:color="auto"/>
            </w:tcBorders>
            <w:noWrap/>
            <w:hideMark/>
          </w:tcPr>
          <w:p w14:paraId="1CEC8D03" w14:textId="77777777" w:rsidR="0035031A" w:rsidRPr="00E8379D" w:rsidRDefault="0035031A" w:rsidP="0035031A">
            <w:pPr>
              <w:pStyle w:val="ParaText"/>
              <w:spacing w:before="0" w:line="240" w:lineRule="auto"/>
              <w:ind w:firstLine="180"/>
              <w:rPr>
                <w:sz w:val="21"/>
                <w:szCs w:val="21"/>
              </w:rPr>
            </w:pPr>
          </w:p>
        </w:tc>
        <w:tc>
          <w:tcPr>
            <w:tcW w:w="1180" w:type="dxa"/>
            <w:tcBorders>
              <w:top w:val="single" w:sz="4" w:space="0" w:color="auto"/>
            </w:tcBorders>
            <w:noWrap/>
            <w:hideMark/>
          </w:tcPr>
          <w:p w14:paraId="39EA6915"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tcBorders>
              <w:top w:val="single" w:sz="4" w:space="0" w:color="auto"/>
            </w:tcBorders>
            <w:noWrap/>
            <w:hideMark/>
          </w:tcPr>
          <w:p w14:paraId="70CE1EEC" w14:textId="77777777" w:rsidR="0035031A" w:rsidRPr="00E8379D" w:rsidRDefault="0035031A" w:rsidP="0035031A">
            <w:pPr>
              <w:pStyle w:val="ParaText"/>
              <w:spacing w:before="0" w:line="240" w:lineRule="auto"/>
              <w:ind w:firstLine="180"/>
              <w:rPr>
                <w:sz w:val="21"/>
                <w:szCs w:val="21"/>
              </w:rPr>
            </w:pPr>
          </w:p>
        </w:tc>
        <w:tc>
          <w:tcPr>
            <w:tcW w:w="1180" w:type="dxa"/>
            <w:tcBorders>
              <w:top w:val="single" w:sz="4" w:space="0" w:color="auto"/>
            </w:tcBorders>
            <w:noWrap/>
            <w:hideMark/>
          </w:tcPr>
          <w:p w14:paraId="2E852AD6"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26A76A1C" w14:textId="77777777" w:rsidTr="00E8379D">
        <w:trPr>
          <w:trHeight w:val="145"/>
        </w:trPr>
        <w:tc>
          <w:tcPr>
            <w:tcW w:w="1559" w:type="dxa"/>
            <w:noWrap/>
            <w:hideMark/>
          </w:tcPr>
          <w:p w14:paraId="518A82F0" w14:textId="77777777" w:rsidR="0035031A" w:rsidRPr="00E8379D" w:rsidRDefault="0035031A" w:rsidP="00E8379D">
            <w:pPr>
              <w:pStyle w:val="ParaText"/>
              <w:spacing w:before="0" w:line="240" w:lineRule="auto"/>
              <w:ind w:firstLine="73"/>
              <w:rPr>
                <w:sz w:val="21"/>
                <w:szCs w:val="21"/>
              </w:rPr>
            </w:pPr>
            <w:r w:rsidRPr="00E8379D">
              <w:rPr>
                <w:sz w:val="21"/>
                <w:szCs w:val="21"/>
              </w:rPr>
              <w:t>2</w:t>
            </w:r>
          </w:p>
        </w:tc>
        <w:tc>
          <w:tcPr>
            <w:tcW w:w="1180" w:type="dxa"/>
            <w:noWrap/>
            <w:hideMark/>
          </w:tcPr>
          <w:p w14:paraId="49CE1B5C"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02FC8107"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2BEE8C89"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799236F0"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79529DDB"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17EC062"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65F92B26" w14:textId="77777777" w:rsidTr="00E8379D">
        <w:trPr>
          <w:trHeight w:val="145"/>
        </w:trPr>
        <w:tc>
          <w:tcPr>
            <w:tcW w:w="1559" w:type="dxa"/>
            <w:noWrap/>
            <w:hideMark/>
          </w:tcPr>
          <w:p w14:paraId="7F9E8D68" w14:textId="77777777" w:rsidR="0035031A" w:rsidRPr="00E8379D" w:rsidRDefault="0035031A" w:rsidP="00E8379D">
            <w:pPr>
              <w:pStyle w:val="ParaText"/>
              <w:spacing w:before="0" w:line="240" w:lineRule="auto"/>
              <w:ind w:firstLine="73"/>
              <w:rPr>
                <w:sz w:val="21"/>
                <w:szCs w:val="21"/>
              </w:rPr>
            </w:pPr>
            <w:r w:rsidRPr="00E8379D">
              <w:rPr>
                <w:sz w:val="21"/>
                <w:szCs w:val="21"/>
              </w:rPr>
              <w:t>3</w:t>
            </w:r>
          </w:p>
        </w:tc>
        <w:tc>
          <w:tcPr>
            <w:tcW w:w="1180" w:type="dxa"/>
            <w:noWrap/>
            <w:hideMark/>
          </w:tcPr>
          <w:p w14:paraId="00A3DBCD"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2933F541"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495497C7"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4D4F987A"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01996720"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515F231"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11975CE0" w14:textId="77777777" w:rsidTr="00E8379D">
        <w:trPr>
          <w:trHeight w:val="145"/>
        </w:trPr>
        <w:tc>
          <w:tcPr>
            <w:tcW w:w="1559" w:type="dxa"/>
            <w:noWrap/>
            <w:hideMark/>
          </w:tcPr>
          <w:p w14:paraId="22F94505" w14:textId="77777777" w:rsidR="0035031A" w:rsidRPr="00E8379D" w:rsidRDefault="0035031A" w:rsidP="00E8379D">
            <w:pPr>
              <w:pStyle w:val="ParaText"/>
              <w:spacing w:before="0" w:line="240" w:lineRule="auto"/>
              <w:ind w:firstLine="73"/>
              <w:rPr>
                <w:sz w:val="21"/>
                <w:szCs w:val="21"/>
              </w:rPr>
            </w:pPr>
            <w:r w:rsidRPr="00E8379D">
              <w:rPr>
                <w:sz w:val="21"/>
                <w:szCs w:val="21"/>
              </w:rPr>
              <w:t>4</w:t>
            </w:r>
          </w:p>
        </w:tc>
        <w:tc>
          <w:tcPr>
            <w:tcW w:w="1180" w:type="dxa"/>
            <w:noWrap/>
            <w:hideMark/>
          </w:tcPr>
          <w:p w14:paraId="4FD9A017"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ADF72F0"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19494033"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2A30A44B"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271B9AD4"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90F78BA" w14:textId="77777777" w:rsidR="0035031A" w:rsidRPr="00E8379D" w:rsidRDefault="0035031A" w:rsidP="0035031A">
            <w:pPr>
              <w:pStyle w:val="ParaText"/>
              <w:spacing w:before="0" w:line="240" w:lineRule="auto"/>
              <w:ind w:firstLine="180"/>
              <w:rPr>
                <w:sz w:val="21"/>
                <w:szCs w:val="21"/>
              </w:rPr>
            </w:pPr>
          </w:p>
        </w:tc>
      </w:tr>
      <w:tr w:rsidR="0035031A" w:rsidRPr="00E8379D" w14:paraId="4FB86C57" w14:textId="77777777" w:rsidTr="00E8379D">
        <w:trPr>
          <w:trHeight w:val="145"/>
        </w:trPr>
        <w:tc>
          <w:tcPr>
            <w:tcW w:w="1559" w:type="dxa"/>
            <w:noWrap/>
            <w:hideMark/>
          </w:tcPr>
          <w:p w14:paraId="76D2C707" w14:textId="77777777" w:rsidR="0035031A" w:rsidRPr="00E8379D" w:rsidRDefault="0035031A" w:rsidP="00E8379D">
            <w:pPr>
              <w:pStyle w:val="ParaText"/>
              <w:spacing w:before="0" w:line="240" w:lineRule="auto"/>
              <w:ind w:firstLine="73"/>
              <w:rPr>
                <w:sz w:val="21"/>
                <w:szCs w:val="21"/>
              </w:rPr>
            </w:pPr>
            <w:r w:rsidRPr="00E8379D">
              <w:rPr>
                <w:sz w:val="21"/>
                <w:szCs w:val="21"/>
              </w:rPr>
              <w:t>5</w:t>
            </w:r>
          </w:p>
        </w:tc>
        <w:tc>
          <w:tcPr>
            <w:tcW w:w="1180" w:type="dxa"/>
            <w:noWrap/>
            <w:hideMark/>
          </w:tcPr>
          <w:p w14:paraId="0F2A4697"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3E2C9D2"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0E657B9F"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66443FAD"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34BC389"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6C9949FD" w14:textId="77777777" w:rsidR="0035031A" w:rsidRPr="00E8379D" w:rsidRDefault="0035031A" w:rsidP="0035031A">
            <w:pPr>
              <w:pStyle w:val="ParaText"/>
              <w:spacing w:before="0" w:line="240" w:lineRule="auto"/>
              <w:ind w:firstLine="180"/>
              <w:rPr>
                <w:sz w:val="21"/>
                <w:szCs w:val="21"/>
              </w:rPr>
            </w:pPr>
          </w:p>
        </w:tc>
      </w:tr>
      <w:tr w:rsidR="0035031A" w:rsidRPr="00E8379D" w14:paraId="745CC6E0" w14:textId="77777777" w:rsidTr="00E8379D">
        <w:trPr>
          <w:trHeight w:val="145"/>
        </w:trPr>
        <w:tc>
          <w:tcPr>
            <w:tcW w:w="1559" w:type="dxa"/>
            <w:noWrap/>
            <w:hideMark/>
          </w:tcPr>
          <w:p w14:paraId="71212224" w14:textId="77777777" w:rsidR="0035031A" w:rsidRPr="00E8379D" w:rsidRDefault="0035031A" w:rsidP="00E8379D">
            <w:pPr>
              <w:pStyle w:val="ParaText"/>
              <w:spacing w:before="0" w:line="240" w:lineRule="auto"/>
              <w:ind w:firstLine="73"/>
              <w:rPr>
                <w:sz w:val="21"/>
                <w:szCs w:val="21"/>
              </w:rPr>
            </w:pPr>
            <w:r w:rsidRPr="00E8379D">
              <w:rPr>
                <w:sz w:val="21"/>
                <w:szCs w:val="21"/>
              </w:rPr>
              <w:t>6</w:t>
            </w:r>
          </w:p>
        </w:tc>
        <w:tc>
          <w:tcPr>
            <w:tcW w:w="1180" w:type="dxa"/>
            <w:noWrap/>
            <w:hideMark/>
          </w:tcPr>
          <w:p w14:paraId="1F27A56F"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4F024B98"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261AEFDF"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270F5D5"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7293D294"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2C026EAE"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398732AA" w14:textId="77777777" w:rsidTr="00E8379D">
        <w:trPr>
          <w:trHeight w:val="145"/>
        </w:trPr>
        <w:tc>
          <w:tcPr>
            <w:tcW w:w="1559" w:type="dxa"/>
            <w:noWrap/>
            <w:hideMark/>
          </w:tcPr>
          <w:p w14:paraId="26466C06" w14:textId="77777777" w:rsidR="0035031A" w:rsidRPr="00E8379D" w:rsidRDefault="0035031A" w:rsidP="00E8379D">
            <w:pPr>
              <w:pStyle w:val="ParaText"/>
              <w:spacing w:before="0" w:line="240" w:lineRule="auto"/>
              <w:ind w:firstLine="73"/>
              <w:rPr>
                <w:sz w:val="21"/>
                <w:szCs w:val="21"/>
              </w:rPr>
            </w:pPr>
            <w:r w:rsidRPr="00E8379D">
              <w:rPr>
                <w:sz w:val="21"/>
                <w:szCs w:val="21"/>
              </w:rPr>
              <w:t>7</w:t>
            </w:r>
          </w:p>
        </w:tc>
        <w:tc>
          <w:tcPr>
            <w:tcW w:w="1180" w:type="dxa"/>
            <w:noWrap/>
            <w:hideMark/>
          </w:tcPr>
          <w:p w14:paraId="76AAE457"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1506C65C"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FF46880"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1E59CF5E"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6750CF5"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037EFB9C" w14:textId="77777777" w:rsidR="0035031A" w:rsidRPr="00E8379D" w:rsidRDefault="0035031A" w:rsidP="0035031A">
            <w:pPr>
              <w:pStyle w:val="ParaText"/>
              <w:spacing w:before="0" w:line="240" w:lineRule="auto"/>
              <w:ind w:firstLine="180"/>
              <w:rPr>
                <w:sz w:val="21"/>
                <w:szCs w:val="21"/>
              </w:rPr>
            </w:pPr>
          </w:p>
        </w:tc>
      </w:tr>
      <w:tr w:rsidR="0035031A" w:rsidRPr="00E8379D" w14:paraId="4270E401" w14:textId="77777777" w:rsidTr="00E8379D">
        <w:trPr>
          <w:trHeight w:val="145"/>
        </w:trPr>
        <w:tc>
          <w:tcPr>
            <w:tcW w:w="1559" w:type="dxa"/>
            <w:noWrap/>
            <w:hideMark/>
          </w:tcPr>
          <w:p w14:paraId="12AF76EE" w14:textId="77777777" w:rsidR="0035031A" w:rsidRPr="00E8379D" w:rsidRDefault="0035031A" w:rsidP="00E8379D">
            <w:pPr>
              <w:pStyle w:val="ParaText"/>
              <w:spacing w:before="0" w:line="240" w:lineRule="auto"/>
              <w:ind w:firstLine="73"/>
              <w:rPr>
                <w:sz w:val="21"/>
                <w:szCs w:val="21"/>
              </w:rPr>
            </w:pPr>
            <w:r w:rsidRPr="00E8379D">
              <w:rPr>
                <w:sz w:val="21"/>
                <w:szCs w:val="21"/>
              </w:rPr>
              <w:t>8</w:t>
            </w:r>
          </w:p>
        </w:tc>
        <w:tc>
          <w:tcPr>
            <w:tcW w:w="1180" w:type="dxa"/>
            <w:noWrap/>
            <w:hideMark/>
          </w:tcPr>
          <w:p w14:paraId="707253C3"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D044EBB"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594D558A"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06D787D9"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158334D9"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58F3854"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41FD263C" w14:textId="77777777" w:rsidTr="00E8379D">
        <w:trPr>
          <w:trHeight w:val="145"/>
        </w:trPr>
        <w:tc>
          <w:tcPr>
            <w:tcW w:w="1559" w:type="dxa"/>
            <w:noWrap/>
            <w:hideMark/>
          </w:tcPr>
          <w:p w14:paraId="7FE7CD01" w14:textId="77777777" w:rsidR="0035031A" w:rsidRPr="00E8379D" w:rsidRDefault="0035031A" w:rsidP="00E8379D">
            <w:pPr>
              <w:pStyle w:val="ParaText"/>
              <w:spacing w:before="0" w:line="240" w:lineRule="auto"/>
              <w:ind w:firstLine="73"/>
              <w:rPr>
                <w:sz w:val="21"/>
                <w:szCs w:val="21"/>
              </w:rPr>
            </w:pPr>
            <w:r w:rsidRPr="00E8379D">
              <w:rPr>
                <w:sz w:val="21"/>
                <w:szCs w:val="21"/>
              </w:rPr>
              <w:t>9</w:t>
            </w:r>
          </w:p>
        </w:tc>
        <w:tc>
          <w:tcPr>
            <w:tcW w:w="1180" w:type="dxa"/>
            <w:noWrap/>
            <w:hideMark/>
          </w:tcPr>
          <w:p w14:paraId="7AB0ACF9"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6E8D859"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0DC0ACF8"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33B86961"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44AF8C6C"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1DAAF170"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204F4166" w14:textId="77777777" w:rsidTr="00E8379D">
        <w:trPr>
          <w:trHeight w:val="145"/>
        </w:trPr>
        <w:tc>
          <w:tcPr>
            <w:tcW w:w="1559" w:type="dxa"/>
            <w:noWrap/>
            <w:hideMark/>
          </w:tcPr>
          <w:p w14:paraId="27B0AFC1" w14:textId="77777777" w:rsidR="0035031A" w:rsidRPr="00E8379D" w:rsidRDefault="0035031A" w:rsidP="00E8379D">
            <w:pPr>
              <w:pStyle w:val="ParaText"/>
              <w:spacing w:before="0" w:line="240" w:lineRule="auto"/>
              <w:ind w:firstLine="73"/>
              <w:rPr>
                <w:sz w:val="21"/>
                <w:szCs w:val="21"/>
              </w:rPr>
            </w:pPr>
            <w:r w:rsidRPr="00E8379D">
              <w:rPr>
                <w:sz w:val="21"/>
                <w:szCs w:val="21"/>
              </w:rPr>
              <w:t>10</w:t>
            </w:r>
          </w:p>
        </w:tc>
        <w:tc>
          <w:tcPr>
            <w:tcW w:w="1180" w:type="dxa"/>
            <w:noWrap/>
            <w:hideMark/>
          </w:tcPr>
          <w:p w14:paraId="40533E6E"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548EC818"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049F1B29"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66E1B096"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B404946"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C47FA03" w14:textId="77777777" w:rsidR="0035031A" w:rsidRPr="00E8379D" w:rsidRDefault="0035031A" w:rsidP="0035031A">
            <w:pPr>
              <w:pStyle w:val="ParaText"/>
              <w:spacing w:before="0" w:line="240" w:lineRule="auto"/>
              <w:ind w:firstLine="180"/>
              <w:rPr>
                <w:sz w:val="21"/>
                <w:szCs w:val="21"/>
              </w:rPr>
            </w:pPr>
          </w:p>
        </w:tc>
      </w:tr>
      <w:tr w:rsidR="0035031A" w:rsidRPr="00E8379D" w14:paraId="2D445745" w14:textId="77777777" w:rsidTr="00E8379D">
        <w:trPr>
          <w:trHeight w:val="145"/>
        </w:trPr>
        <w:tc>
          <w:tcPr>
            <w:tcW w:w="1559" w:type="dxa"/>
            <w:noWrap/>
            <w:hideMark/>
          </w:tcPr>
          <w:p w14:paraId="1B8CA6B8" w14:textId="77777777" w:rsidR="0035031A" w:rsidRPr="00E8379D" w:rsidRDefault="0035031A" w:rsidP="00E8379D">
            <w:pPr>
              <w:pStyle w:val="ParaText"/>
              <w:spacing w:before="0" w:line="240" w:lineRule="auto"/>
              <w:ind w:firstLine="73"/>
              <w:rPr>
                <w:sz w:val="21"/>
                <w:szCs w:val="21"/>
              </w:rPr>
            </w:pPr>
            <w:r w:rsidRPr="00E8379D">
              <w:rPr>
                <w:sz w:val="21"/>
                <w:szCs w:val="21"/>
              </w:rPr>
              <w:t>11</w:t>
            </w:r>
          </w:p>
        </w:tc>
        <w:tc>
          <w:tcPr>
            <w:tcW w:w="1180" w:type="dxa"/>
            <w:noWrap/>
            <w:hideMark/>
          </w:tcPr>
          <w:p w14:paraId="7DE4B150"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49734D69"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76D9F04"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737A4F8A"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64A6156"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5E84F1FD" w14:textId="77777777" w:rsidR="0035031A" w:rsidRPr="00E8379D" w:rsidRDefault="0035031A" w:rsidP="0035031A">
            <w:pPr>
              <w:pStyle w:val="ParaText"/>
              <w:spacing w:before="0" w:line="240" w:lineRule="auto"/>
              <w:ind w:firstLine="180"/>
              <w:rPr>
                <w:sz w:val="21"/>
                <w:szCs w:val="21"/>
              </w:rPr>
            </w:pPr>
          </w:p>
        </w:tc>
      </w:tr>
      <w:tr w:rsidR="0035031A" w:rsidRPr="00E8379D" w14:paraId="2475A596" w14:textId="77777777" w:rsidTr="00E8379D">
        <w:trPr>
          <w:trHeight w:val="145"/>
        </w:trPr>
        <w:tc>
          <w:tcPr>
            <w:tcW w:w="1559" w:type="dxa"/>
            <w:noWrap/>
            <w:hideMark/>
          </w:tcPr>
          <w:p w14:paraId="31D4BC2C" w14:textId="77777777" w:rsidR="0035031A" w:rsidRPr="00E8379D" w:rsidRDefault="0035031A" w:rsidP="00E8379D">
            <w:pPr>
              <w:pStyle w:val="ParaText"/>
              <w:spacing w:before="0" w:line="240" w:lineRule="auto"/>
              <w:ind w:firstLine="73"/>
              <w:rPr>
                <w:sz w:val="21"/>
                <w:szCs w:val="21"/>
              </w:rPr>
            </w:pPr>
            <w:r w:rsidRPr="00E8379D">
              <w:rPr>
                <w:sz w:val="21"/>
                <w:szCs w:val="21"/>
              </w:rPr>
              <w:t>12</w:t>
            </w:r>
          </w:p>
        </w:tc>
        <w:tc>
          <w:tcPr>
            <w:tcW w:w="1180" w:type="dxa"/>
            <w:noWrap/>
            <w:hideMark/>
          </w:tcPr>
          <w:p w14:paraId="4943B01C"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44C810FE"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4A40AC8D"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2E28739E"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0E8386F"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47C9D177" w14:textId="77777777" w:rsidR="0035031A" w:rsidRPr="00E8379D" w:rsidRDefault="0035031A" w:rsidP="0035031A">
            <w:pPr>
              <w:pStyle w:val="ParaText"/>
              <w:spacing w:before="0" w:line="240" w:lineRule="auto"/>
              <w:ind w:firstLine="180"/>
              <w:rPr>
                <w:sz w:val="21"/>
                <w:szCs w:val="21"/>
              </w:rPr>
            </w:pPr>
          </w:p>
        </w:tc>
      </w:tr>
      <w:tr w:rsidR="0035031A" w:rsidRPr="00E8379D" w14:paraId="1E091C12" w14:textId="77777777" w:rsidTr="00E8379D">
        <w:trPr>
          <w:trHeight w:val="145"/>
        </w:trPr>
        <w:tc>
          <w:tcPr>
            <w:tcW w:w="1559" w:type="dxa"/>
            <w:noWrap/>
            <w:hideMark/>
          </w:tcPr>
          <w:p w14:paraId="505E3FC9" w14:textId="77777777" w:rsidR="0035031A" w:rsidRPr="00E8379D" w:rsidRDefault="0035031A" w:rsidP="00E8379D">
            <w:pPr>
              <w:pStyle w:val="ParaText"/>
              <w:spacing w:before="0" w:line="240" w:lineRule="auto"/>
              <w:ind w:firstLine="73"/>
              <w:rPr>
                <w:sz w:val="21"/>
                <w:szCs w:val="21"/>
              </w:rPr>
            </w:pPr>
            <w:r w:rsidRPr="00E8379D">
              <w:rPr>
                <w:sz w:val="21"/>
                <w:szCs w:val="21"/>
              </w:rPr>
              <w:t>13</w:t>
            </w:r>
          </w:p>
        </w:tc>
        <w:tc>
          <w:tcPr>
            <w:tcW w:w="1180" w:type="dxa"/>
            <w:noWrap/>
            <w:hideMark/>
          </w:tcPr>
          <w:p w14:paraId="4AC1E91F"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0C1921B5"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B2ECF42"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0DD1DACA"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46C3399F"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4A86521E" w14:textId="77777777" w:rsidR="0035031A" w:rsidRPr="00E8379D" w:rsidRDefault="0035031A" w:rsidP="0035031A">
            <w:pPr>
              <w:pStyle w:val="ParaText"/>
              <w:spacing w:before="0" w:line="240" w:lineRule="auto"/>
              <w:ind w:firstLine="180"/>
              <w:rPr>
                <w:sz w:val="21"/>
                <w:szCs w:val="21"/>
              </w:rPr>
            </w:pPr>
          </w:p>
        </w:tc>
      </w:tr>
      <w:tr w:rsidR="0035031A" w:rsidRPr="00E8379D" w14:paraId="68AFDC6E" w14:textId="77777777" w:rsidTr="00E8379D">
        <w:trPr>
          <w:trHeight w:val="145"/>
        </w:trPr>
        <w:tc>
          <w:tcPr>
            <w:tcW w:w="1559" w:type="dxa"/>
            <w:noWrap/>
            <w:hideMark/>
          </w:tcPr>
          <w:p w14:paraId="5E86A9D7" w14:textId="77777777" w:rsidR="0035031A" w:rsidRPr="00E8379D" w:rsidRDefault="0035031A" w:rsidP="00E8379D">
            <w:pPr>
              <w:pStyle w:val="ParaText"/>
              <w:spacing w:before="0" w:line="240" w:lineRule="auto"/>
              <w:ind w:firstLine="73"/>
              <w:rPr>
                <w:sz w:val="21"/>
                <w:szCs w:val="21"/>
              </w:rPr>
            </w:pPr>
            <w:r w:rsidRPr="00E8379D">
              <w:rPr>
                <w:sz w:val="21"/>
                <w:szCs w:val="21"/>
              </w:rPr>
              <w:t>14</w:t>
            </w:r>
          </w:p>
        </w:tc>
        <w:tc>
          <w:tcPr>
            <w:tcW w:w="1180" w:type="dxa"/>
            <w:noWrap/>
            <w:hideMark/>
          </w:tcPr>
          <w:p w14:paraId="6F2E8BFF"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7BDAF3E"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2F8D63B"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4F3F872D"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533198FF"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30C74BB3" w14:textId="77777777" w:rsidR="0035031A" w:rsidRPr="00E8379D" w:rsidRDefault="0035031A" w:rsidP="0035031A">
            <w:pPr>
              <w:pStyle w:val="ParaText"/>
              <w:spacing w:before="0" w:line="240" w:lineRule="auto"/>
              <w:ind w:firstLine="180"/>
              <w:rPr>
                <w:sz w:val="21"/>
                <w:szCs w:val="21"/>
              </w:rPr>
            </w:pPr>
          </w:p>
        </w:tc>
      </w:tr>
      <w:tr w:rsidR="0035031A" w:rsidRPr="00E8379D" w14:paraId="0BAC7FA2" w14:textId="77777777" w:rsidTr="00E8379D">
        <w:trPr>
          <w:trHeight w:val="145"/>
        </w:trPr>
        <w:tc>
          <w:tcPr>
            <w:tcW w:w="1559" w:type="dxa"/>
            <w:noWrap/>
            <w:hideMark/>
          </w:tcPr>
          <w:p w14:paraId="3DA84FF6" w14:textId="77777777" w:rsidR="0035031A" w:rsidRPr="00E8379D" w:rsidRDefault="0035031A" w:rsidP="00E8379D">
            <w:pPr>
              <w:pStyle w:val="ParaText"/>
              <w:spacing w:before="0" w:line="240" w:lineRule="auto"/>
              <w:ind w:firstLine="73"/>
              <w:rPr>
                <w:sz w:val="21"/>
                <w:szCs w:val="21"/>
              </w:rPr>
            </w:pPr>
            <w:r w:rsidRPr="00E8379D">
              <w:rPr>
                <w:sz w:val="21"/>
                <w:szCs w:val="21"/>
              </w:rPr>
              <w:t>15</w:t>
            </w:r>
          </w:p>
        </w:tc>
        <w:tc>
          <w:tcPr>
            <w:tcW w:w="1180" w:type="dxa"/>
            <w:noWrap/>
            <w:hideMark/>
          </w:tcPr>
          <w:p w14:paraId="7D106EB3"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A73BD2A"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452CE314"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6610429E"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18D884C3"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4569ECC1" w14:textId="77777777" w:rsidR="0035031A" w:rsidRPr="00E8379D" w:rsidRDefault="0035031A" w:rsidP="0035031A">
            <w:pPr>
              <w:pStyle w:val="ParaText"/>
              <w:spacing w:before="0" w:line="240" w:lineRule="auto"/>
              <w:ind w:firstLine="180"/>
              <w:rPr>
                <w:sz w:val="21"/>
                <w:szCs w:val="21"/>
              </w:rPr>
            </w:pPr>
          </w:p>
        </w:tc>
      </w:tr>
      <w:tr w:rsidR="0035031A" w:rsidRPr="00E8379D" w14:paraId="3127B15D" w14:textId="77777777" w:rsidTr="00E8379D">
        <w:trPr>
          <w:trHeight w:val="145"/>
        </w:trPr>
        <w:tc>
          <w:tcPr>
            <w:tcW w:w="1559" w:type="dxa"/>
            <w:noWrap/>
            <w:hideMark/>
          </w:tcPr>
          <w:p w14:paraId="73A92352" w14:textId="77777777" w:rsidR="0035031A" w:rsidRPr="00E8379D" w:rsidRDefault="0035031A" w:rsidP="00E8379D">
            <w:pPr>
              <w:pStyle w:val="ParaText"/>
              <w:spacing w:before="0" w:line="240" w:lineRule="auto"/>
              <w:ind w:firstLine="73"/>
              <w:rPr>
                <w:sz w:val="21"/>
                <w:szCs w:val="21"/>
              </w:rPr>
            </w:pPr>
            <w:r w:rsidRPr="00E8379D">
              <w:rPr>
                <w:sz w:val="21"/>
                <w:szCs w:val="21"/>
              </w:rPr>
              <w:t>16</w:t>
            </w:r>
          </w:p>
        </w:tc>
        <w:tc>
          <w:tcPr>
            <w:tcW w:w="1180" w:type="dxa"/>
            <w:noWrap/>
            <w:hideMark/>
          </w:tcPr>
          <w:p w14:paraId="3ABCE6D8"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BF0AF3A"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5B7F3E34"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3B822DBA"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0C211470"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6C19B452" w14:textId="77777777" w:rsidR="0035031A" w:rsidRPr="00E8379D" w:rsidRDefault="0035031A" w:rsidP="0035031A">
            <w:pPr>
              <w:pStyle w:val="ParaText"/>
              <w:spacing w:before="0" w:line="240" w:lineRule="auto"/>
              <w:ind w:firstLine="180"/>
              <w:rPr>
                <w:sz w:val="21"/>
                <w:szCs w:val="21"/>
              </w:rPr>
            </w:pPr>
          </w:p>
        </w:tc>
      </w:tr>
      <w:tr w:rsidR="0035031A" w:rsidRPr="00E8379D" w14:paraId="48B92FD4" w14:textId="77777777" w:rsidTr="00E8379D">
        <w:trPr>
          <w:trHeight w:val="145"/>
        </w:trPr>
        <w:tc>
          <w:tcPr>
            <w:tcW w:w="1559" w:type="dxa"/>
            <w:noWrap/>
            <w:hideMark/>
          </w:tcPr>
          <w:p w14:paraId="5ACC1520" w14:textId="77777777" w:rsidR="0035031A" w:rsidRPr="00E8379D" w:rsidRDefault="0035031A" w:rsidP="00E8379D">
            <w:pPr>
              <w:pStyle w:val="ParaText"/>
              <w:spacing w:before="0" w:line="240" w:lineRule="auto"/>
              <w:ind w:firstLine="73"/>
              <w:rPr>
                <w:sz w:val="21"/>
                <w:szCs w:val="21"/>
              </w:rPr>
            </w:pPr>
            <w:r w:rsidRPr="00E8379D">
              <w:rPr>
                <w:sz w:val="21"/>
                <w:szCs w:val="21"/>
              </w:rPr>
              <w:t>17</w:t>
            </w:r>
          </w:p>
        </w:tc>
        <w:tc>
          <w:tcPr>
            <w:tcW w:w="1180" w:type="dxa"/>
            <w:noWrap/>
            <w:hideMark/>
          </w:tcPr>
          <w:p w14:paraId="62534C62"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0A62AB0"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1C068AB"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7D7C53F1"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25AD2D14"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7FA71AB9" w14:textId="77777777" w:rsidR="0035031A" w:rsidRPr="00E8379D" w:rsidRDefault="0035031A" w:rsidP="0035031A">
            <w:pPr>
              <w:pStyle w:val="ParaText"/>
              <w:spacing w:before="0" w:line="240" w:lineRule="auto"/>
              <w:ind w:firstLine="180"/>
              <w:rPr>
                <w:sz w:val="21"/>
                <w:szCs w:val="21"/>
              </w:rPr>
            </w:pPr>
          </w:p>
        </w:tc>
      </w:tr>
      <w:tr w:rsidR="0035031A" w:rsidRPr="00E8379D" w14:paraId="6FC9D0BE" w14:textId="77777777" w:rsidTr="00E8379D">
        <w:trPr>
          <w:trHeight w:val="145"/>
        </w:trPr>
        <w:tc>
          <w:tcPr>
            <w:tcW w:w="1559" w:type="dxa"/>
            <w:noWrap/>
            <w:hideMark/>
          </w:tcPr>
          <w:p w14:paraId="036CC557" w14:textId="77777777" w:rsidR="0035031A" w:rsidRPr="00E8379D" w:rsidRDefault="0035031A" w:rsidP="00E8379D">
            <w:pPr>
              <w:pStyle w:val="ParaText"/>
              <w:spacing w:before="0" w:line="240" w:lineRule="auto"/>
              <w:ind w:firstLine="73"/>
              <w:rPr>
                <w:sz w:val="21"/>
                <w:szCs w:val="21"/>
              </w:rPr>
            </w:pPr>
            <w:r w:rsidRPr="00E8379D">
              <w:rPr>
                <w:sz w:val="21"/>
                <w:szCs w:val="21"/>
              </w:rPr>
              <w:t>18</w:t>
            </w:r>
          </w:p>
        </w:tc>
        <w:tc>
          <w:tcPr>
            <w:tcW w:w="1180" w:type="dxa"/>
            <w:noWrap/>
            <w:hideMark/>
          </w:tcPr>
          <w:p w14:paraId="7EDB4E9A"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E636C65"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074241AD"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13DE3B4E"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4F95CE51"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4118CEFF" w14:textId="77777777" w:rsidR="0035031A" w:rsidRPr="00E8379D" w:rsidRDefault="0035031A" w:rsidP="0035031A">
            <w:pPr>
              <w:pStyle w:val="ParaText"/>
              <w:spacing w:before="0" w:line="240" w:lineRule="auto"/>
              <w:ind w:firstLine="180"/>
              <w:rPr>
                <w:sz w:val="21"/>
                <w:szCs w:val="21"/>
              </w:rPr>
            </w:pPr>
          </w:p>
        </w:tc>
      </w:tr>
      <w:tr w:rsidR="0035031A" w:rsidRPr="00E8379D" w14:paraId="63A955C7" w14:textId="77777777" w:rsidTr="00E8379D">
        <w:trPr>
          <w:trHeight w:val="145"/>
        </w:trPr>
        <w:tc>
          <w:tcPr>
            <w:tcW w:w="1559" w:type="dxa"/>
            <w:noWrap/>
            <w:hideMark/>
          </w:tcPr>
          <w:p w14:paraId="2C5A0D80" w14:textId="77777777" w:rsidR="0035031A" w:rsidRPr="00E8379D" w:rsidRDefault="0035031A" w:rsidP="00E8379D">
            <w:pPr>
              <w:pStyle w:val="ParaText"/>
              <w:spacing w:before="0" w:line="240" w:lineRule="auto"/>
              <w:ind w:firstLine="73"/>
              <w:rPr>
                <w:sz w:val="21"/>
                <w:szCs w:val="21"/>
              </w:rPr>
            </w:pPr>
            <w:r w:rsidRPr="00E8379D">
              <w:rPr>
                <w:sz w:val="21"/>
                <w:szCs w:val="21"/>
              </w:rPr>
              <w:t>19</w:t>
            </w:r>
          </w:p>
        </w:tc>
        <w:tc>
          <w:tcPr>
            <w:tcW w:w="1180" w:type="dxa"/>
            <w:noWrap/>
            <w:hideMark/>
          </w:tcPr>
          <w:p w14:paraId="15C4A060"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349312F"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19F0954B"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3D9C2115"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29ADFD5E"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noWrap/>
            <w:hideMark/>
          </w:tcPr>
          <w:p w14:paraId="12DDD7B7" w14:textId="77777777" w:rsidR="0035031A" w:rsidRPr="00E8379D" w:rsidRDefault="0035031A" w:rsidP="0035031A">
            <w:pPr>
              <w:pStyle w:val="ParaText"/>
              <w:spacing w:before="0" w:line="240" w:lineRule="auto"/>
              <w:ind w:firstLine="180"/>
              <w:rPr>
                <w:sz w:val="21"/>
                <w:szCs w:val="21"/>
              </w:rPr>
            </w:pPr>
          </w:p>
        </w:tc>
      </w:tr>
      <w:tr w:rsidR="0035031A" w:rsidRPr="00E8379D" w14:paraId="5E385D48" w14:textId="77777777" w:rsidTr="00E8379D">
        <w:trPr>
          <w:trHeight w:val="145"/>
        </w:trPr>
        <w:tc>
          <w:tcPr>
            <w:tcW w:w="1559" w:type="dxa"/>
            <w:noWrap/>
            <w:hideMark/>
          </w:tcPr>
          <w:p w14:paraId="724CAC60" w14:textId="77777777" w:rsidR="0035031A" w:rsidRPr="00E8379D" w:rsidRDefault="0035031A" w:rsidP="00E8379D">
            <w:pPr>
              <w:pStyle w:val="ParaText"/>
              <w:spacing w:before="0" w:line="240" w:lineRule="auto"/>
              <w:ind w:firstLine="73"/>
              <w:rPr>
                <w:sz w:val="21"/>
                <w:szCs w:val="21"/>
              </w:rPr>
            </w:pPr>
            <w:r w:rsidRPr="00E8379D">
              <w:rPr>
                <w:sz w:val="21"/>
                <w:szCs w:val="21"/>
              </w:rPr>
              <w:t>20</w:t>
            </w:r>
          </w:p>
        </w:tc>
        <w:tc>
          <w:tcPr>
            <w:tcW w:w="1180" w:type="dxa"/>
            <w:noWrap/>
            <w:hideMark/>
          </w:tcPr>
          <w:p w14:paraId="027DCD19"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2F31F30D"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2A4611B1"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5D218738"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6A4D59F7"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48144C7"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39E57C3A" w14:textId="77777777" w:rsidTr="00E8379D">
        <w:trPr>
          <w:trHeight w:val="145"/>
        </w:trPr>
        <w:tc>
          <w:tcPr>
            <w:tcW w:w="1559" w:type="dxa"/>
            <w:noWrap/>
            <w:hideMark/>
          </w:tcPr>
          <w:p w14:paraId="335F8EF0" w14:textId="77777777" w:rsidR="0035031A" w:rsidRPr="00E8379D" w:rsidRDefault="0035031A" w:rsidP="00E8379D">
            <w:pPr>
              <w:pStyle w:val="ParaText"/>
              <w:spacing w:before="0" w:line="240" w:lineRule="auto"/>
              <w:ind w:firstLine="73"/>
              <w:rPr>
                <w:sz w:val="21"/>
                <w:szCs w:val="21"/>
              </w:rPr>
            </w:pPr>
            <w:r w:rsidRPr="00E8379D">
              <w:rPr>
                <w:sz w:val="21"/>
                <w:szCs w:val="21"/>
              </w:rPr>
              <w:t>21</w:t>
            </w:r>
          </w:p>
        </w:tc>
        <w:tc>
          <w:tcPr>
            <w:tcW w:w="1180" w:type="dxa"/>
            <w:noWrap/>
            <w:hideMark/>
          </w:tcPr>
          <w:p w14:paraId="73FB69B9"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0F13C490"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04688096"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819BDC7"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4E92597A"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5F7F8385"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2ADF401B" w14:textId="77777777" w:rsidTr="00E8379D">
        <w:trPr>
          <w:trHeight w:val="145"/>
        </w:trPr>
        <w:tc>
          <w:tcPr>
            <w:tcW w:w="1559" w:type="dxa"/>
            <w:noWrap/>
            <w:hideMark/>
          </w:tcPr>
          <w:p w14:paraId="33DBA107" w14:textId="77777777" w:rsidR="0035031A" w:rsidRPr="00E8379D" w:rsidRDefault="0035031A" w:rsidP="00E8379D">
            <w:pPr>
              <w:pStyle w:val="ParaText"/>
              <w:spacing w:before="0" w:line="240" w:lineRule="auto"/>
              <w:ind w:firstLine="73"/>
              <w:rPr>
                <w:sz w:val="21"/>
                <w:szCs w:val="21"/>
              </w:rPr>
            </w:pPr>
            <w:r w:rsidRPr="00E8379D">
              <w:rPr>
                <w:sz w:val="21"/>
                <w:szCs w:val="21"/>
              </w:rPr>
              <w:t>22</w:t>
            </w:r>
          </w:p>
        </w:tc>
        <w:tc>
          <w:tcPr>
            <w:tcW w:w="1180" w:type="dxa"/>
            <w:noWrap/>
            <w:hideMark/>
          </w:tcPr>
          <w:p w14:paraId="0BBD48DC"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7A0E60D"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2A68186"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8C3D4CF"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0BC7EF08"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1029B3B1"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06055566" w14:textId="77777777" w:rsidTr="00E8379D">
        <w:trPr>
          <w:trHeight w:val="145"/>
        </w:trPr>
        <w:tc>
          <w:tcPr>
            <w:tcW w:w="1559" w:type="dxa"/>
            <w:noWrap/>
            <w:hideMark/>
          </w:tcPr>
          <w:p w14:paraId="51AB0521" w14:textId="77777777" w:rsidR="0035031A" w:rsidRPr="00E8379D" w:rsidRDefault="0035031A" w:rsidP="00E8379D">
            <w:pPr>
              <w:pStyle w:val="ParaText"/>
              <w:spacing w:before="0" w:line="240" w:lineRule="auto"/>
              <w:ind w:firstLine="73"/>
              <w:rPr>
                <w:sz w:val="21"/>
                <w:szCs w:val="21"/>
              </w:rPr>
            </w:pPr>
            <w:r w:rsidRPr="00E8379D">
              <w:rPr>
                <w:sz w:val="21"/>
                <w:szCs w:val="21"/>
              </w:rPr>
              <w:t>23</w:t>
            </w:r>
          </w:p>
        </w:tc>
        <w:tc>
          <w:tcPr>
            <w:tcW w:w="1180" w:type="dxa"/>
            <w:noWrap/>
            <w:hideMark/>
          </w:tcPr>
          <w:p w14:paraId="28F09B1B"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17B25AA"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5C60AFD7"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0446B715"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27EA4A4A"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230D26C"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5756DF1B" w14:textId="77777777" w:rsidTr="00E8379D">
        <w:trPr>
          <w:trHeight w:val="145"/>
        </w:trPr>
        <w:tc>
          <w:tcPr>
            <w:tcW w:w="1559" w:type="dxa"/>
            <w:noWrap/>
            <w:hideMark/>
          </w:tcPr>
          <w:p w14:paraId="15A9ED91" w14:textId="77777777" w:rsidR="0035031A" w:rsidRPr="00E8379D" w:rsidRDefault="0035031A" w:rsidP="00E8379D">
            <w:pPr>
              <w:pStyle w:val="ParaText"/>
              <w:spacing w:before="0" w:line="240" w:lineRule="auto"/>
              <w:ind w:firstLine="73"/>
              <w:rPr>
                <w:sz w:val="21"/>
                <w:szCs w:val="21"/>
              </w:rPr>
            </w:pPr>
            <w:r w:rsidRPr="00E8379D">
              <w:rPr>
                <w:sz w:val="21"/>
                <w:szCs w:val="21"/>
              </w:rPr>
              <w:t>24</w:t>
            </w:r>
          </w:p>
        </w:tc>
        <w:tc>
          <w:tcPr>
            <w:tcW w:w="1180" w:type="dxa"/>
            <w:noWrap/>
            <w:hideMark/>
          </w:tcPr>
          <w:p w14:paraId="330BA067"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0156941"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073DAA6"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797EBB1"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4A39D9E4"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2868CB95"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412DF83B" w14:textId="77777777" w:rsidTr="00E8379D">
        <w:trPr>
          <w:trHeight w:val="145"/>
        </w:trPr>
        <w:tc>
          <w:tcPr>
            <w:tcW w:w="1559" w:type="dxa"/>
            <w:noWrap/>
            <w:hideMark/>
          </w:tcPr>
          <w:p w14:paraId="3AB9EFB1" w14:textId="77777777" w:rsidR="0035031A" w:rsidRPr="00E8379D" w:rsidRDefault="0035031A" w:rsidP="00E8379D">
            <w:pPr>
              <w:pStyle w:val="ParaText"/>
              <w:spacing w:before="0" w:line="240" w:lineRule="auto"/>
              <w:ind w:firstLine="73"/>
              <w:rPr>
                <w:sz w:val="21"/>
                <w:szCs w:val="21"/>
              </w:rPr>
            </w:pPr>
            <w:r w:rsidRPr="00E8379D">
              <w:rPr>
                <w:sz w:val="21"/>
                <w:szCs w:val="21"/>
              </w:rPr>
              <w:t>25</w:t>
            </w:r>
          </w:p>
        </w:tc>
        <w:tc>
          <w:tcPr>
            <w:tcW w:w="1180" w:type="dxa"/>
            <w:noWrap/>
            <w:hideMark/>
          </w:tcPr>
          <w:p w14:paraId="0A2D2DD3"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0243A6F0"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867E9E6"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45851CE9"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1EB2E6E5"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5050A746"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258D711D" w14:textId="77777777" w:rsidTr="00E8379D">
        <w:trPr>
          <w:trHeight w:val="145"/>
        </w:trPr>
        <w:tc>
          <w:tcPr>
            <w:tcW w:w="1559" w:type="dxa"/>
            <w:noWrap/>
            <w:hideMark/>
          </w:tcPr>
          <w:p w14:paraId="1B98B412" w14:textId="77777777" w:rsidR="0035031A" w:rsidRPr="00E8379D" w:rsidRDefault="0035031A" w:rsidP="00E8379D">
            <w:pPr>
              <w:pStyle w:val="ParaText"/>
              <w:spacing w:before="0" w:line="240" w:lineRule="auto"/>
              <w:ind w:firstLine="73"/>
              <w:rPr>
                <w:sz w:val="21"/>
                <w:szCs w:val="21"/>
              </w:rPr>
            </w:pPr>
            <w:r w:rsidRPr="00E8379D">
              <w:rPr>
                <w:sz w:val="21"/>
                <w:szCs w:val="21"/>
              </w:rPr>
              <w:t>26</w:t>
            </w:r>
          </w:p>
        </w:tc>
        <w:tc>
          <w:tcPr>
            <w:tcW w:w="1180" w:type="dxa"/>
            <w:noWrap/>
            <w:hideMark/>
          </w:tcPr>
          <w:p w14:paraId="4C40D8B3"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EC633C6"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44BD3096"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28FDB57F"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28289C29"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8FB8E43"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7330CDD0" w14:textId="77777777" w:rsidTr="00E8379D">
        <w:trPr>
          <w:trHeight w:val="145"/>
        </w:trPr>
        <w:tc>
          <w:tcPr>
            <w:tcW w:w="1559" w:type="dxa"/>
            <w:noWrap/>
            <w:hideMark/>
          </w:tcPr>
          <w:p w14:paraId="3E393808" w14:textId="77777777" w:rsidR="0035031A" w:rsidRPr="00E8379D" w:rsidRDefault="0035031A" w:rsidP="00E8379D">
            <w:pPr>
              <w:pStyle w:val="ParaText"/>
              <w:spacing w:before="0" w:line="240" w:lineRule="auto"/>
              <w:ind w:firstLine="73"/>
              <w:rPr>
                <w:sz w:val="21"/>
                <w:szCs w:val="21"/>
              </w:rPr>
            </w:pPr>
            <w:r w:rsidRPr="00E8379D">
              <w:rPr>
                <w:sz w:val="21"/>
                <w:szCs w:val="21"/>
              </w:rPr>
              <w:t>27</w:t>
            </w:r>
          </w:p>
        </w:tc>
        <w:tc>
          <w:tcPr>
            <w:tcW w:w="1180" w:type="dxa"/>
            <w:noWrap/>
            <w:hideMark/>
          </w:tcPr>
          <w:p w14:paraId="34276439"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63CA5F6"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FB7C49B"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07FE39EA"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3F00840C"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11D6A97D"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026EE8EC" w14:textId="77777777" w:rsidTr="00E8379D">
        <w:trPr>
          <w:trHeight w:val="145"/>
        </w:trPr>
        <w:tc>
          <w:tcPr>
            <w:tcW w:w="1559" w:type="dxa"/>
            <w:noWrap/>
            <w:hideMark/>
          </w:tcPr>
          <w:p w14:paraId="3254A79D" w14:textId="77777777" w:rsidR="0035031A" w:rsidRPr="00E8379D" w:rsidRDefault="0035031A" w:rsidP="00E8379D">
            <w:pPr>
              <w:pStyle w:val="ParaText"/>
              <w:spacing w:before="0" w:line="240" w:lineRule="auto"/>
              <w:ind w:firstLine="73"/>
              <w:rPr>
                <w:sz w:val="21"/>
                <w:szCs w:val="21"/>
              </w:rPr>
            </w:pPr>
            <w:r w:rsidRPr="00E8379D">
              <w:rPr>
                <w:sz w:val="21"/>
                <w:szCs w:val="21"/>
              </w:rPr>
              <w:t>28</w:t>
            </w:r>
          </w:p>
        </w:tc>
        <w:tc>
          <w:tcPr>
            <w:tcW w:w="1180" w:type="dxa"/>
            <w:noWrap/>
            <w:hideMark/>
          </w:tcPr>
          <w:p w14:paraId="74AF0008"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8A1367A"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5BB3E506"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1F65F704"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25C21425"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218B920E"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634DCEE3" w14:textId="77777777" w:rsidTr="00E8379D">
        <w:trPr>
          <w:trHeight w:val="145"/>
        </w:trPr>
        <w:tc>
          <w:tcPr>
            <w:tcW w:w="1559" w:type="dxa"/>
            <w:noWrap/>
            <w:hideMark/>
          </w:tcPr>
          <w:p w14:paraId="73EA644C" w14:textId="77777777" w:rsidR="0035031A" w:rsidRPr="00E8379D" w:rsidRDefault="0035031A" w:rsidP="00E8379D">
            <w:pPr>
              <w:pStyle w:val="ParaText"/>
              <w:spacing w:before="0" w:line="240" w:lineRule="auto"/>
              <w:ind w:firstLine="73"/>
              <w:rPr>
                <w:sz w:val="21"/>
                <w:szCs w:val="21"/>
              </w:rPr>
            </w:pPr>
            <w:r w:rsidRPr="00E8379D">
              <w:rPr>
                <w:sz w:val="21"/>
                <w:szCs w:val="21"/>
              </w:rPr>
              <w:t>29</w:t>
            </w:r>
          </w:p>
        </w:tc>
        <w:tc>
          <w:tcPr>
            <w:tcW w:w="1180" w:type="dxa"/>
            <w:noWrap/>
            <w:hideMark/>
          </w:tcPr>
          <w:p w14:paraId="0216AB28"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AB0C52B"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2A88DFD6"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5FFFDDB9"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75E9D8E5"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2732CF77"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056DA5B5" w14:textId="77777777" w:rsidTr="00E8379D">
        <w:trPr>
          <w:trHeight w:val="145"/>
        </w:trPr>
        <w:tc>
          <w:tcPr>
            <w:tcW w:w="1559" w:type="dxa"/>
            <w:noWrap/>
            <w:hideMark/>
          </w:tcPr>
          <w:p w14:paraId="3B06BF52" w14:textId="77777777" w:rsidR="0035031A" w:rsidRPr="00E8379D" w:rsidRDefault="0035031A" w:rsidP="00E8379D">
            <w:pPr>
              <w:pStyle w:val="ParaText"/>
              <w:spacing w:before="0" w:line="240" w:lineRule="auto"/>
              <w:ind w:firstLine="73"/>
              <w:rPr>
                <w:sz w:val="21"/>
                <w:szCs w:val="21"/>
              </w:rPr>
            </w:pPr>
            <w:r w:rsidRPr="00E8379D">
              <w:rPr>
                <w:sz w:val="21"/>
                <w:szCs w:val="21"/>
              </w:rPr>
              <w:t>30</w:t>
            </w:r>
          </w:p>
        </w:tc>
        <w:tc>
          <w:tcPr>
            <w:tcW w:w="1180" w:type="dxa"/>
            <w:noWrap/>
            <w:hideMark/>
          </w:tcPr>
          <w:p w14:paraId="0CE67300"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FD6820A"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347BEEE"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52748FB2"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5CB97455"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51B0C475"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3DCC9653" w14:textId="77777777" w:rsidTr="00E8379D">
        <w:trPr>
          <w:trHeight w:val="145"/>
        </w:trPr>
        <w:tc>
          <w:tcPr>
            <w:tcW w:w="1559" w:type="dxa"/>
            <w:noWrap/>
            <w:hideMark/>
          </w:tcPr>
          <w:p w14:paraId="5A7AC521" w14:textId="77777777" w:rsidR="0035031A" w:rsidRPr="00E8379D" w:rsidRDefault="0035031A" w:rsidP="00E8379D">
            <w:pPr>
              <w:pStyle w:val="ParaText"/>
              <w:spacing w:before="0" w:line="240" w:lineRule="auto"/>
              <w:ind w:firstLine="73"/>
              <w:rPr>
                <w:sz w:val="21"/>
                <w:szCs w:val="21"/>
              </w:rPr>
            </w:pPr>
            <w:r w:rsidRPr="00E8379D">
              <w:rPr>
                <w:sz w:val="21"/>
                <w:szCs w:val="21"/>
              </w:rPr>
              <w:t>31</w:t>
            </w:r>
          </w:p>
        </w:tc>
        <w:tc>
          <w:tcPr>
            <w:tcW w:w="1180" w:type="dxa"/>
            <w:noWrap/>
            <w:hideMark/>
          </w:tcPr>
          <w:p w14:paraId="32E95B8E"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D6A24E3"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2C15EB30"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5FEC584B"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09041682"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CE023DB"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52574E48" w14:textId="77777777" w:rsidTr="00E8379D">
        <w:trPr>
          <w:trHeight w:val="145"/>
        </w:trPr>
        <w:tc>
          <w:tcPr>
            <w:tcW w:w="1559" w:type="dxa"/>
            <w:noWrap/>
            <w:hideMark/>
          </w:tcPr>
          <w:p w14:paraId="6CAFBB1A" w14:textId="77777777" w:rsidR="0035031A" w:rsidRPr="00E8379D" w:rsidRDefault="0035031A" w:rsidP="00E8379D">
            <w:pPr>
              <w:pStyle w:val="ParaText"/>
              <w:spacing w:before="0" w:line="240" w:lineRule="auto"/>
              <w:ind w:firstLine="73"/>
              <w:rPr>
                <w:sz w:val="21"/>
                <w:szCs w:val="21"/>
              </w:rPr>
            </w:pPr>
            <w:r w:rsidRPr="00E8379D">
              <w:rPr>
                <w:sz w:val="21"/>
                <w:szCs w:val="21"/>
              </w:rPr>
              <w:t>32</w:t>
            </w:r>
          </w:p>
        </w:tc>
        <w:tc>
          <w:tcPr>
            <w:tcW w:w="1180" w:type="dxa"/>
            <w:noWrap/>
            <w:hideMark/>
          </w:tcPr>
          <w:p w14:paraId="2CA9C331"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07B1F443"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50F4706D"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4C89E761"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617E4FA6"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45C28439"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233D3A94" w14:textId="77777777" w:rsidTr="00E8379D">
        <w:trPr>
          <w:trHeight w:val="145"/>
        </w:trPr>
        <w:tc>
          <w:tcPr>
            <w:tcW w:w="1559" w:type="dxa"/>
            <w:noWrap/>
            <w:hideMark/>
          </w:tcPr>
          <w:p w14:paraId="7A62F63F" w14:textId="77777777" w:rsidR="0035031A" w:rsidRPr="00E8379D" w:rsidRDefault="0035031A" w:rsidP="00E8379D">
            <w:pPr>
              <w:pStyle w:val="ParaText"/>
              <w:spacing w:before="0" w:line="240" w:lineRule="auto"/>
              <w:ind w:firstLine="73"/>
              <w:rPr>
                <w:sz w:val="21"/>
                <w:szCs w:val="21"/>
              </w:rPr>
            </w:pPr>
            <w:r w:rsidRPr="00E8379D">
              <w:rPr>
                <w:sz w:val="21"/>
                <w:szCs w:val="21"/>
              </w:rPr>
              <w:t>33</w:t>
            </w:r>
          </w:p>
        </w:tc>
        <w:tc>
          <w:tcPr>
            <w:tcW w:w="1180" w:type="dxa"/>
            <w:noWrap/>
            <w:hideMark/>
          </w:tcPr>
          <w:p w14:paraId="418DC3C6"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69C6A8D"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69B0AB71"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9ADF095"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60F3587F"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7296EE34"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190F61EC" w14:textId="77777777" w:rsidTr="00E8379D">
        <w:trPr>
          <w:trHeight w:val="145"/>
        </w:trPr>
        <w:tc>
          <w:tcPr>
            <w:tcW w:w="1559" w:type="dxa"/>
            <w:noWrap/>
            <w:hideMark/>
          </w:tcPr>
          <w:p w14:paraId="7EFCF2A3" w14:textId="77777777" w:rsidR="0035031A" w:rsidRPr="00E8379D" w:rsidRDefault="0035031A" w:rsidP="00E8379D">
            <w:pPr>
              <w:pStyle w:val="ParaText"/>
              <w:spacing w:before="0" w:line="240" w:lineRule="auto"/>
              <w:ind w:firstLine="73"/>
              <w:rPr>
                <w:sz w:val="21"/>
                <w:szCs w:val="21"/>
              </w:rPr>
            </w:pPr>
            <w:r w:rsidRPr="00E8379D">
              <w:rPr>
                <w:sz w:val="21"/>
                <w:szCs w:val="21"/>
              </w:rPr>
              <w:t>34</w:t>
            </w:r>
          </w:p>
        </w:tc>
        <w:tc>
          <w:tcPr>
            <w:tcW w:w="1180" w:type="dxa"/>
            <w:noWrap/>
            <w:hideMark/>
          </w:tcPr>
          <w:p w14:paraId="48F5643B"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0912FF95"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38E3A9EE"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10FAEF26"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noWrap/>
            <w:hideMark/>
          </w:tcPr>
          <w:p w14:paraId="05B53690" w14:textId="77777777" w:rsidR="0035031A" w:rsidRPr="00E8379D" w:rsidRDefault="0035031A" w:rsidP="0035031A">
            <w:pPr>
              <w:pStyle w:val="ParaText"/>
              <w:spacing w:before="0" w:line="240" w:lineRule="auto"/>
              <w:ind w:firstLine="180"/>
              <w:rPr>
                <w:sz w:val="21"/>
                <w:szCs w:val="21"/>
              </w:rPr>
            </w:pPr>
          </w:p>
        </w:tc>
        <w:tc>
          <w:tcPr>
            <w:tcW w:w="1180" w:type="dxa"/>
            <w:noWrap/>
            <w:hideMark/>
          </w:tcPr>
          <w:p w14:paraId="13FAD6CE"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1586B93B" w14:textId="77777777" w:rsidTr="00E8379D">
        <w:trPr>
          <w:trHeight w:val="145"/>
        </w:trPr>
        <w:tc>
          <w:tcPr>
            <w:tcW w:w="1559" w:type="dxa"/>
            <w:tcBorders>
              <w:bottom w:val="single" w:sz="4" w:space="0" w:color="auto"/>
            </w:tcBorders>
            <w:noWrap/>
            <w:hideMark/>
          </w:tcPr>
          <w:p w14:paraId="7E2C6057" w14:textId="77777777" w:rsidR="0035031A" w:rsidRPr="00E8379D" w:rsidRDefault="0035031A" w:rsidP="00E8379D">
            <w:pPr>
              <w:pStyle w:val="ParaText"/>
              <w:spacing w:before="0" w:line="240" w:lineRule="auto"/>
              <w:ind w:firstLine="73"/>
              <w:rPr>
                <w:sz w:val="21"/>
                <w:szCs w:val="21"/>
              </w:rPr>
            </w:pPr>
            <w:r w:rsidRPr="00E8379D">
              <w:rPr>
                <w:sz w:val="21"/>
                <w:szCs w:val="21"/>
              </w:rPr>
              <w:t>35</w:t>
            </w:r>
          </w:p>
        </w:tc>
        <w:tc>
          <w:tcPr>
            <w:tcW w:w="1180" w:type="dxa"/>
            <w:tcBorders>
              <w:bottom w:val="single" w:sz="4" w:space="0" w:color="auto"/>
            </w:tcBorders>
            <w:noWrap/>
            <w:hideMark/>
          </w:tcPr>
          <w:p w14:paraId="0778DFFF" w14:textId="77777777" w:rsidR="0035031A" w:rsidRPr="00E8379D" w:rsidRDefault="0035031A" w:rsidP="0035031A">
            <w:pPr>
              <w:pStyle w:val="ParaText"/>
              <w:spacing w:before="0" w:line="240" w:lineRule="auto"/>
              <w:ind w:firstLine="180"/>
              <w:rPr>
                <w:sz w:val="21"/>
                <w:szCs w:val="21"/>
              </w:rPr>
            </w:pPr>
          </w:p>
        </w:tc>
        <w:tc>
          <w:tcPr>
            <w:tcW w:w="1180" w:type="dxa"/>
            <w:tcBorders>
              <w:bottom w:val="single" w:sz="4" w:space="0" w:color="auto"/>
            </w:tcBorders>
            <w:noWrap/>
            <w:hideMark/>
          </w:tcPr>
          <w:p w14:paraId="4335ECD0" w14:textId="77777777" w:rsidR="0035031A" w:rsidRPr="00E8379D" w:rsidRDefault="0035031A" w:rsidP="0035031A">
            <w:pPr>
              <w:pStyle w:val="ParaText"/>
              <w:spacing w:before="0" w:line="240" w:lineRule="auto"/>
              <w:ind w:firstLine="180"/>
              <w:rPr>
                <w:sz w:val="21"/>
                <w:szCs w:val="21"/>
              </w:rPr>
            </w:pPr>
          </w:p>
        </w:tc>
        <w:tc>
          <w:tcPr>
            <w:tcW w:w="1180" w:type="dxa"/>
            <w:tcBorders>
              <w:bottom w:val="single" w:sz="4" w:space="0" w:color="auto"/>
            </w:tcBorders>
            <w:noWrap/>
            <w:hideMark/>
          </w:tcPr>
          <w:p w14:paraId="06CAC3BA" w14:textId="77777777" w:rsidR="0035031A" w:rsidRPr="00E8379D" w:rsidRDefault="0035031A" w:rsidP="0035031A">
            <w:pPr>
              <w:pStyle w:val="ParaText"/>
              <w:spacing w:before="0" w:line="240" w:lineRule="auto"/>
              <w:ind w:firstLine="180"/>
              <w:rPr>
                <w:sz w:val="21"/>
                <w:szCs w:val="21"/>
              </w:rPr>
            </w:pPr>
          </w:p>
        </w:tc>
        <w:tc>
          <w:tcPr>
            <w:tcW w:w="1180" w:type="dxa"/>
            <w:tcBorders>
              <w:bottom w:val="single" w:sz="4" w:space="0" w:color="auto"/>
            </w:tcBorders>
            <w:noWrap/>
            <w:hideMark/>
          </w:tcPr>
          <w:p w14:paraId="2BC37A15" w14:textId="77777777" w:rsidR="0035031A" w:rsidRPr="00E8379D" w:rsidRDefault="0035031A" w:rsidP="0035031A">
            <w:pPr>
              <w:pStyle w:val="ParaText"/>
              <w:spacing w:before="0" w:line="240" w:lineRule="auto"/>
              <w:ind w:firstLine="180"/>
              <w:rPr>
                <w:sz w:val="21"/>
                <w:szCs w:val="21"/>
              </w:rPr>
            </w:pPr>
            <w:r w:rsidRPr="00E8379D">
              <w:rPr>
                <w:sz w:val="21"/>
                <w:szCs w:val="21"/>
              </w:rPr>
              <w:t>IO</w:t>
            </w:r>
          </w:p>
        </w:tc>
        <w:tc>
          <w:tcPr>
            <w:tcW w:w="1180" w:type="dxa"/>
            <w:tcBorders>
              <w:bottom w:val="single" w:sz="4" w:space="0" w:color="auto"/>
            </w:tcBorders>
            <w:noWrap/>
            <w:hideMark/>
          </w:tcPr>
          <w:p w14:paraId="052F445C"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c>
          <w:tcPr>
            <w:tcW w:w="1180" w:type="dxa"/>
            <w:tcBorders>
              <w:bottom w:val="single" w:sz="4" w:space="0" w:color="auto"/>
            </w:tcBorders>
            <w:noWrap/>
            <w:hideMark/>
          </w:tcPr>
          <w:p w14:paraId="015E30E7" w14:textId="77777777" w:rsidR="0035031A" w:rsidRPr="00E8379D" w:rsidRDefault="0035031A" w:rsidP="0035031A">
            <w:pPr>
              <w:pStyle w:val="ParaText"/>
              <w:spacing w:before="0" w:line="240" w:lineRule="auto"/>
              <w:ind w:firstLine="180"/>
              <w:rPr>
                <w:sz w:val="21"/>
                <w:szCs w:val="21"/>
              </w:rPr>
            </w:pPr>
            <w:r w:rsidRPr="00E8379D">
              <w:rPr>
                <w:sz w:val="21"/>
                <w:szCs w:val="21"/>
              </w:rPr>
              <w:t>S</w:t>
            </w:r>
          </w:p>
        </w:tc>
      </w:tr>
      <w:tr w:rsidR="0035031A" w:rsidRPr="00E8379D" w14:paraId="33AB1E25" w14:textId="77777777" w:rsidTr="00E8379D">
        <w:trPr>
          <w:trHeight w:val="359"/>
        </w:trPr>
        <w:tc>
          <w:tcPr>
            <w:tcW w:w="1559" w:type="dxa"/>
            <w:tcBorders>
              <w:top w:val="single" w:sz="4" w:space="0" w:color="auto"/>
              <w:bottom w:val="single" w:sz="4" w:space="0" w:color="auto"/>
            </w:tcBorders>
            <w:noWrap/>
            <w:vAlign w:val="bottom"/>
            <w:hideMark/>
          </w:tcPr>
          <w:p w14:paraId="6C7CBF75" w14:textId="564EB374" w:rsidR="0035031A" w:rsidRPr="00E8379D" w:rsidRDefault="00E27B42" w:rsidP="00E8379D">
            <w:pPr>
              <w:pStyle w:val="ParaText"/>
              <w:spacing w:before="0" w:line="240" w:lineRule="auto"/>
              <w:ind w:firstLine="73"/>
              <w:rPr>
                <w:sz w:val="21"/>
                <w:szCs w:val="21"/>
              </w:rPr>
            </w:pPr>
            <w:r>
              <w:rPr>
                <w:sz w:val="21"/>
                <w:szCs w:val="21"/>
              </w:rPr>
              <w:t>Site-years</w:t>
            </w:r>
          </w:p>
        </w:tc>
        <w:tc>
          <w:tcPr>
            <w:tcW w:w="1180" w:type="dxa"/>
            <w:tcBorders>
              <w:top w:val="single" w:sz="4" w:space="0" w:color="auto"/>
              <w:bottom w:val="single" w:sz="4" w:space="0" w:color="auto"/>
            </w:tcBorders>
            <w:noWrap/>
            <w:vAlign w:val="bottom"/>
            <w:hideMark/>
          </w:tcPr>
          <w:p w14:paraId="08C9EB99" w14:textId="77777777" w:rsidR="0035031A" w:rsidRPr="00E8379D" w:rsidRDefault="0035031A" w:rsidP="00C809CF">
            <w:pPr>
              <w:pStyle w:val="ParaText"/>
              <w:spacing w:before="0" w:line="240" w:lineRule="auto"/>
              <w:ind w:firstLine="180"/>
              <w:rPr>
                <w:sz w:val="21"/>
                <w:szCs w:val="21"/>
              </w:rPr>
            </w:pPr>
          </w:p>
        </w:tc>
        <w:tc>
          <w:tcPr>
            <w:tcW w:w="1180" w:type="dxa"/>
            <w:tcBorders>
              <w:top w:val="single" w:sz="4" w:space="0" w:color="auto"/>
              <w:bottom w:val="single" w:sz="4" w:space="0" w:color="auto"/>
            </w:tcBorders>
            <w:noWrap/>
            <w:vAlign w:val="bottom"/>
            <w:hideMark/>
          </w:tcPr>
          <w:p w14:paraId="456000A8" w14:textId="77777777" w:rsidR="0035031A" w:rsidRPr="00E8379D" w:rsidRDefault="0035031A" w:rsidP="00C809CF">
            <w:pPr>
              <w:pStyle w:val="ParaText"/>
              <w:spacing w:before="0" w:line="240" w:lineRule="auto"/>
              <w:ind w:firstLine="180"/>
              <w:rPr>
                <w:sz w:val="21"/>
                <w:szCs w:val="21"/>
              </w:rPr>
            </w:pPr>
          </w:p>
        </w:tc>
        <w:tc>
          <w:tcPr>
            <w:tcW w:w="1180" w:type="dxa"/>
            <w:tcBorders>
              <w:top w:val="single" w:sz="4" w:space="0" w:color="auto"/>
              <w:bottom w:val="single" w:sz="4" w:space="0" w:color="auto"/>
            </w:tcBorders>
            <w:noWrap/>
            <w:vAlign w:val="bottom"/>
            <w:hideMark/>
          </w:tcPr>
          <w:p w14:paraId="0F061017" w14:textId="77777777" w:rsidR="0035031A" w:rsidRPr="00E8379D" w:rsidRDefault="0035031A" w:rsidP="00C809CF">
            <w:pPr>
              <w:pStyle w:val="ParaText"/>
              <w:spacing w:before="0" w:line="240" w:lineRule="auto"/>
              <w:ind w:firstLine="180"/>
              <w:rPr>
                <w:sz w:val="21"/>
                <w:szCs w:val="21"/>
              </w:rPr>
            </w:pPr>
            <w:r w:rsidRPr="00E8379D">
              <w:rPr>
                <w:sz w:val="21"/>
                <w:szCs w:val="21"/>
              </w:rPr>
              <w:t>5</w:t>
            </w:r>
          </w:p>
        </w:tc>
        <w:tc>
          <w:tcPr>
            <w:tcW w:w="1180" w:type="dxa"/>
            <w:tcBorders>
              <w:top w:val="single" w:sz="4" w:space="0" w:color="auto"/>
              <w:bottom w:val="single" w:sz="4" w:space="0" w:color="auto"/>
            </w:tcBorders>
            <w:noWrap/>
            <w:vAlign w:val="bottom"/>
            <w:hideMark/>
          </w:tcPr>
          <w:p w14:paraId="76A3FAC6" w14:textId="77777777" w:rsidR="0035031A" w:rsidRPr="00E8379D" w:rsidRDefault="0035031A" w:rsidP="00C809CF">
            <w:pPr>
              <w:pStyle w:val="ParaText"/>
              <w:spacing w:before="0" w:line="240" w:lineRule="auto"/>
              <w:ind w:firstLine="180"/>
              <w:rPr>
                <w:sz w:val="21"/>
                <w:szCs w:val="21"/>
              </w:rPr>
            </w:pPr>
            <w:r w:rsidRPr="00E8379D">
              <w:rPr>
                <w:sz w:val="21"/>
                <w:szCs w:val="21"/>
              </w:rPr>
              <w:t>6</w:t>
            </w:r>
          </w:p>
        </w:tc>
        <w:tc>
          <w:tcPr>
            <w:tcW w:w="1180" w:type="dxa"/>
            <w:tcBorders>
              <w:top w:val="single" w:sz="4" w:space="0" w:color="auto"/>
              <w:bottom w:val="single" w:sz="4" w:space="0" w:color="auto"/>
            </w:tcBorders>
            <w:noWrap/>
            <w:vAlign w:val="bottom"/>
            <w:hideMark/>
          </w:tcPr>
          <w:p w14:paraId="0BD87585" w14:textId="77777777" w:rsidR="0035031A" w:rsidRPr="00E8379D" w:rsidRDefault="0035031A" w:rsidP="00C809CF">
            <w:pPr>
              <w:pStyle w:val="ParaText"/>
              <w:spacing w:before="0" w:line="240" w:lineRule="auto"/>
              <w:ind w:firstLine="180"/>
              <w:rPr>
                <w:sz w:val="21"/>
                <w:szCs w:val="21"/>
              </w:rPr>
            </w:pPr>
            <w:r w:rsidRPr="00E8379D">
              <w:rPr>
                <w:sz w:val="21"/>
                <w:szCs w:val="21"/>
              </w:rPr>
              <w:t>12</w:t>
            </w:r>
          </w:p>
        </w:tc>
        <w:tc>
          <w:tcPr>
            <w:tcW w:w="1180" w:type="dxa"/>
            <w:tcBorders>
              <w:top w:val="single" w:sz="4" w:space="0" w:color="auto"/>
              <w:bottom w:val="single" w:sz="4" w:space="0" w:color="auto"/>
            </w:tcBorders>
            <w:noWrap/>
            <w:vAlign w:val="bottom"/>
            <w:hideMark/>
          </w:tcPr>
          <w:p w14:paraId="0A211EE6" w14:textId="77777777" w:rsidR="0035031A" w:rsidRPr="00E8379D" w:rsidRDefault="0035031A" w:rsidP="00C809CF">
            <w:pPr>
              <w:pStyle w:val="ParaText"/>
              <w:spacing w:before="0" w:line="240" w:lineRule="auto"/>
              <w:ind w:firstLine="180"/>
              <w:rPr>
                <w:sz w:val="21"/>
                <w:szCs w:val="21"/>
              </w:rPr>
            </w:pPr>
            <w:r w:rsidRPr="00E8379D">
              <w:rPr>
                <w:sz w:val="21"/>
                <w:szCs w:val="21"/>
              </w:rPr>
              <w:t>22</w:t>
            </w:r>
          </w:p>
        </w:tc>
      </w:tr>
    </w:tbl>
    <w:p w14:paraId="0812C598" w14:textId="77777777" w:rsidR="0035031A" w:rsidRDefault="0035031A">
      <w:pPr>
        <w:rPr>
          <w:b/>
          <w:bCs/>
        </w:rPr>
      </w:pPr>
      <w:r>
        <w:rPr>
          <w:bCs/>
        </w:rPr>
        <w:br w:type="page"/>
      </w:r>
    </w:p>
    <w:p w14:paraId="27E5C22C" w14:textId="1766F0DD" w:rsidR="0035031A" w:rsidRDefault="0035031A" w:rsidP="0035031A">
      <w:pPr>
        <w:pStyle w:val="TableTitle"/>
        <w:spacing w:before="0" w:after="0"/>
        <w:ind w:right="270"/>
        <w:rPr>
          <w:bCs/>
          <w:sz w:val="24"/>
          <w:szCs w:val="24"/>
        </w:rPr>
      </w:pPr>
      <w:r w:rsidRPr="007B5C79">
        <w:rPr>
          <w:bCs/>
          <w:sz w:val="24"/>
          <w:szCs w:val="24"/>
        </w:rPr>
        <w:lastRenderedPageBreak/>
        <w:t>T</w:t>
      </w:r>
      <w:r>
        <w:rPr>
          <w:bCs/>
          <w:sz w:val="24"/>
          <w:szCs w:val="24"/>
        </w:rPr>
        <w:t>able</w:t>
      </w:r>
      <w:r w:rsidRPr="007B5C79">
        <w:rPr>
          <w:bCs/>
          <w:sz w:val="24"/>
          <w:szCs w:val="24"/>
        </w:rPr>
        <w:t xml:space="preserve"> </w:t>
      </w:r>
      <w:r>
        <w:rPr>
          <w:bCs/>
          <w:sz w:val="24"/>
          <w:szCs w:val="24"/>
        </w:rPr>
        <w:t>S</w:t>
      </w:r>
      <w:r w:rsidR="001E0254">
        <w:rPr>
          <w:bCs/>
          <w:sz w:val="24"/>
          <w:szCs w:val="24"/>
        </w:rPr>
        <w:t>2</w:t>
      </w:r>
    </w:p>
    <w:p w14:paraId="3456D68B" w14:textId="77777777" w:rsidR="0035031A" w:rsidRPr="00C81A96" w:rsidRDefault="0035031A" w:rsidP="0035031A">
      <w:pPr>
        <w:pStyle w:val="TableTitle"/>
        <w:spacing w:before="0" w:after="0"/>
        <w:ind w:right="274"/>
        <w:rPr>
          <w:b w:val="0"/>
          <w:bCs/>
          <w:sz w:val="24"/>
          <w:szCs w:val="24"/>
        </w:rPr>
      </w:pPr>
      <w:r w:rsidRPr="007B5C79">
        <w:rPr>
          <w:b w:val="0"/>
          <w:bCs/>
          <w:sz w:val="24"/>
          <w:szCs w:val="24"/>
        </w:rPr>
        <w:t>Soil health indicator abbreviations and laboratory analysis method</w:t>
      </w:r>
      <w:r>
        <w:rPr>
          <w:b w:val="0"/>
          <w:bCs/>
          <w:sz w:val="24"/>
          <w:szCs w:val="24"/>
        </w:rPr>
        <w:t>s used in this study.</w:t>
      </w:r>
    </w:p>
    <w:tbl>
      <w:tblPr>
        <w:tblStyle w:val="PlainTable4"/>
        <w:tblW w:w="9894" w:type="dxa"/>
        <w:tblBorders>
          <w:top w:val="single" w:sz="12" w:space="0" w:color="auto"/>
          <w:bottom w:val="single" w:sz="12" w:space="0" w:color="auto"/>
        </w:tblBorders>
        <w:tblLayout w:type="fixed"/>
        <w:tblLook w:val="04A0" w:firstRow="1" w:lastRow="0" w:firstColumn="1" w:lastColumn="0" w:noHBand="0" w:noVBand="1"/>
      </w:tblPr>
      <w:tblGrid>
        <w:gridCol w:w="2299"/>
        <w:gridCol w:w="1316"/>
        <w:gridCol w:w="4646"/>
        <w:gridCol w:w="1633"/>
      </w:tblGrid>
      <w:tr w:rsidR="0035031A" w:rsidRPr="00731010" w14:paraId="356D7A37" w14:textId="77777777" w:rsidTr="00D30CC1">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99" w:type="dxa"/>
            <w:tcBorders>
              <w:top w:val="single" w:sz="12" w:space="0" w:color="auto"/>
              <w:bottom w:val="single" w:sz="12" w:space="0" w:color="auto"/>
            </w:tcBorders>
            <w:shd w:val="clear" w:color="auto" w:fill="auto"/>
          </w:tcPr>
          <w:p w14:paraId="0271740F" w14:textId="77777777" w:rsidR="0035031A" w:rsidRPr="00731010" w:rsidRDefault="0035031A" w:rsidP="00D30CC1">
            <w:pPr>
              <w:pStyle w:val="TableHead"/>
              <w:rPr>
                <w:b/>
                <w:sz w:val="21"/>
                <w:szCs w:val="21"/>
              </w:rPr>
            </w:pPr>
            <w:r w:rsidRPr="00731010">
              <w:rPr>
                <w:sz w:val="21"/>
                <w:szCs w:val="21"/>
              </w:rPr>
              <w:t>Soil health indicator</w:t>
            </w:r>
          </w:p>
        </w:tc>
        <w:tc>
          <w:tcPr>
            <w:tcW w:w="1316" w:type="dxa"/>
            <w:tcBorders>
              <w:top w:val="single" w:sz="12" w:space="0" w:color="auto"/>
              <w:bottom w:val="single" w:sz="12" w:space="0" w:color="auto"/>
            </w:tcBorders>
            <w:shd w:val="clear" w:color="auto" w:fill="auto"/>
          </w:tcPr>
          <w:p w14:paraId="557E0398" w14:textId="77777777" w:rsidR="0035031A" w:rsidRPr="00731010" w:rsidRDefault="0035031A" w:rsidP="00D30CC1">
            <w:pPr>
              <w:pStyle w:val="TableHead"/>
              <w:cnfStyle w:val="100000000000" w:firstRow="1" w:lastRow="0" w:firstColumn="0" w:lastColumn="0" w:oddVBand="0" w:evenVBand="0" w:oddHBand="0" w:evenHBand="0" w:firstRowFirstColumn="0" w:firstRowLastColumn="0" w:lastRowFirstColumn="0" w:lastRowLastColumn="0"/>
              <w:rPr>
                <w:sz w:val="21"/>
                <w:szCs w:val="21"/>
              </w:rPr>
            </w:pPr>
            <w:r>
              <w:rPr>
                <w:sz w:val="21"/>
                <w:szCs w:val="21"/>
              </w:rPr>
              <w:t>SHA</w:t>
            </w:r>
          </w:p>
        </w:tc>
        <w:tc>
          <w:tcPr>
            <w:tcW w:w="4646" w:type="dxa"/>
            <w:tcBorders>
              <w:top w:val="single" w:sz="12" w:space="0" w:color="auto"/>
              <w:bottom w:val="single" w:sz="12" w:space="0" w:color="auto"/>
            </w:tcBorders>
            <w:shd w:val="clear" w:color="auto" w:fill="auto"/>
          </w:tcPr>
          <w:p w14:paraId="5E5CB523" w14:textId="77777777" w:rsidR="0035031A" w:rsidRPr="00731010" w:rsidRDefault="0035031A" w:rsidP="00D30CC1">
            <w:pPr>
              <w:pStyle w:val="TableHead"/>
              <w:cnfStyle w:val="100000000000" w:firstRow="1" w:lastRow="0" w:firstColumn="0" w:lastColumn="0" w:oddVBand="0" w:evenVBand="0" w:oddHBand="0" w:evenHBand="0" w:firstRowFirstColumn="0" w:firstRowLastColumn="0" w:lastRowFirstColumn="0" w:lastRowLastColumn="0"/>
              <w:rPr>
                <w:b/>
                <w:sz w:val="21"/>
                <w:szCs w:val="21"/>
              </w:rPr>
            </w:pPr>
            <w:r w:rsidRPr="00731010">
              <w:rPr>
                <w:sz w:val="21"/>
                <w:szCs w:val="21"/>
              </w:rPr>
              <w:t>Analysis method</w:t>
            </w:r>
          </w:p>
        </w:tc>
        <w:tc>
          <w:tcPr>
            <w:tcW w:w="1633" w:type="dxa"/>
            <w:tcBorders>
              <w:top w:val="single" w:sz="12" w:space="0" w:color="auto"/>
              <w:bottom w:val="single" w:sz="12" w:space="0" w:color="auto"/>
            </w:tcBorders>
            <w:shd w:val="clear" w:color="auto" w:fill="auto"/>
          </w:tcPr>
          <w:p w14:paraId="259DE52B" w14:textId="77777777" w:rsidR="0035031A" w:rsidRPr="00731010" w:rsidRDefault="0035031A" w:rsidP="00D30CC1">
            <w:pPr>
              <w:pStyle w:val="TableHead"/>
              <w:ind w:right="-108"/>
              <w:cnfStyle w:val="100000000000" w:firstRow="1" w:lastRow="0" w:firstColumn="0" w:lastColumn="0" w:oddVBand="0" w:evenVBand="0" w:oddHBand="0" w:evenHBand="0" w:firstRowFirstColumn="0" w:firstRowLastColumn="0" w:lastRowFirstColumn="0" w:lastRowLastColumn="0"/>
              <w:rPr>
                <w:b/>
                <w:sz w:val="21"/>
                <w:szCs w:val="21"/>
              </w:rPr>
            </w:pPr>
            <w:r w:rsidRPr="00731010">
              <w:rPr>
                <w:sz w:val="21"/>
                <w:szCs w:val="21"/>
              </w:rPr>
              <w:t>Citation</w:t>
            </w:r>
          </w:p>
        </w:tc>
      </w:tr>
      <w:tr w:rsidR="0035031A" w:rsidRPr="00731010" w14:paraId="4D56FF0E" w14:textId="77777777" w:rsidTr="00D30CC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99" w:type="dxa"/>
            <w:tcBorders>
              <w:top w:val="single" w:sz="12" w:space="0" w:color="auto"/>
            </w:tcBorders>
            <w:shd w:val="clear" w:color="auto" w:fill="auto"/>
          </w:tcPr>
          <w:p w14:paraId="43F6506B" w14:textId="77777777" w:rsidR="0035031A" w:rsidRPr="00731010" w:rsidRDefault="0035031A" w:rsidP="00D30CC1">
            <w:pPr>
              <w:pStyle w:val="TableBody"/>
              <w:spacing w:after="40"/>
              <w:ind w:left="-29" w:firstLine="29"/>
              <w:rPr>
                <w:b w:val="0"/>
                <w:sz w:val="21"/>
                <w:szCs w:val="21"/>
              </w:rPr>
            </w:pPr>
            <w:r w:rsidRPr="00731010">
              <w:rPr>
                <w:b w:val="0"/>
                <w:sz w:val="21"/>
                <w:szCs w:val="21"/>
              </w:rPr>
              <w:t>Organic matter</w:t>
            </w:r>
            <w:r w:rsidRPr="00731010" w:rsidDel="00C905D3">
              <w:rPr>
                <w:b w:val="0"/>
                <w:sz w:val="21"/>
                <w:szCs w:val="21"/>
              </w:rPr>
              <w:t xml:space="preserve"> </w:t>
            </w:r>
            <w:r w:rsidRPr="00731010">
              <w:rPr>
                <w:b w:val="0"/>
                <w:sz w:val="21"/>
                <w:szCs w:val="21"/>
              </w:rPr>
              <w:t>(OM); soil organic carbon (SOC)</w:t>
            </w:r>
          </w:p>
        </w:tc>
        <w:tc>
          <w:tcPr>
            <w:tcW w:w="1316" w:type="dxa"/>
            <w:tcBorders>
              <w:top w:val="single" w:sz="12" w:space="0" w:color="auto"/>
            </w:tcBorders>
            <w:shd w:val="clear" w:color="auto" w:fill="auto"/>
          </w:tcPr>
          <w:p w14:paraId="5B77FACD"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CASH, SMAF</w:t>
            </w:r>
          </w:p>
        </w:tc>
        <w:tc>
          <w:tcPr>
            <w:tcW w:w="4646" w:type="dxa"/>
            <w:tcBorders>
              <w:top w:val="single" w:sz="12" w:space="0" w:color="auto"/>
            </w:tcBorders>
            <w:shd w:val="clear" w:color="auto" w:fill="auto"/>
          </w:tcPr>
          <w:p w14:paraId="24DD73D3"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r w:rsidRPr="00731010">
              <w:rPr>
                <w:sz w:val="21"/>
                <w:szCs w:val="21"/>
              </w:rPr>
              <w:t>Calculated as weight lost from a soil sample on ignition. SOC was calculated by multiplying percent OM by 0.58.</w:t>
            </w:r>
          </w:p>
        </w:tc>
        <w:tc>
          <w:tcPr>
            <w:tcW w:w="1633" w:type="dxa"/>
            <w:tcBorders>
              <w:top w:val="single" w:sz="12" w:space="0" w:color="auto"/>
            </w:tcBorders>
            <w:shd w:val="clear" w:color="auto" w:fill="auto"/>
          </w:tcPr>
          <w:p w14:paraId="5EB127F6" w14:textId="0F72BE01" w:rsidR="0035031A" w:rsidRPr="00731010" w:rsidRDefault="00266C81"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sdt>
              <w:sdtPr>
                <w:rPr>
                  <w:color w:val="000000"/>
                  <w:sz w:val="21"/>
                  <w:szCs w:val="21"/>
                </w:rPr>
                <w:tag w:val="MENDELEY_CITATION_v3_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"/>
                <w:id w:val="-473142061"/>
                <w:placeholder>
                  <w:docPart w:val="F17A4E98CEE231458CF54BED2A6DA48E"/>
                </w:placeholder>
              </w:sdtPr>
              <w:sdtEndPr/>
              <w:sdtContent>
                <w:proofErr w:type="spellStart"/>
                <w:r w:rsidR="00256573" w:rsidRPr="00256573">
                  <w:rPr>
                    <w:color w:val="000000"/>
                    <w:sz w:val="21"/>
                    <w:szCs w:val="21"/>
                  </w:rPr>
                  <w:t>Schindelbeck</w:t>
                </w:r>
                <w:proofErr w:type="spellEnd"/>
                <w:r w:rsidR="00256573" w:rsidRPr="00256573">
                  <w:rPr>
                    <w:color w:val="000000"/>
                    <w:sz w:val="21"/>
                    <w:szCs w:val="21"/>
                  </w:rPr>
                  <w:t xml:space="preserve"> et al. 2016</w:t>
                </w:r>
              </w:sdtContent>
            </w:sdt>
            <w:r w:rsidR="0035031A">
              <w:rPr>
                <w:sz w:val="21"/>
                <w:szCs w:val="21"/>
              </w:rPr>
              <w:t>,</w:t>
            </w:r>
            <w:r w:rsidR="0035031A" w:rsidRPr="00731010">
              <w:rPr>
                <w:sz w:val="21"/>
                <w:szCs w:val="21"/>
              </w:rPr>
              <w:t xml:space="preserve"> </w:t>
            </w:r>
            <w:sdt>
              <w:sdtPr>
                <w:rPr>
                  <w:color w:val="000000"/>
                  <w:sz w:val="21"/>
                  <w:szCs w:val="21"/>
                </w:rPr>
                <w:tag w:val="MENDELEY_CITATION_v3_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"/>
                <w:id w:val="1753553261"/>
                <w:placeholder>
                  <w:docPart w:val="F17A4E98CEE231458CF54BED2A6DA48E"/>
                </w:placeholder>
              </w:sdtPr>
              <w:sdtEndPr/>
              <w:sdtContent>
                <w:proofErr w:type="spellStart"/>
                <w:r w:rsidR="00256573" w:rsidRPr="00256573">
                  <w:rPr>
                    <w:color w:val="000000"/>
                    <w:sz w:val="21"/>
                    <w:szCs w:val="21"/>
                  </w:rPr>
                  <w:t>Cambardella</w:t>
                </w:r>
                <w:proofErr w:type="spellEnd"/>
                <w:r w:rsidR="00256573" w:rsidRPr="00256573">
                  <w:rPr>
                    <w:color w:val="000000"/>
                    <w:sz w:val="21"/>
                    <w:szCs w:val="21"/>
                  </w:rPr>
                  <w:t xml:space="preserve"> et al. 2001</w:t>
                </w:r>
              </w:sdtContent>
            </w:sdt>
          </w:p>
        </w:tc>
      </w:tr>
      <w:tr w:rsidR="0035031A" w:rsidRPr="00731010" w14:paraId="5BBAEB0D" w14:textId="77777777" w:rsidTr="00D30CC1">
        <w:trPr>
          <w:trHeight w:val="240"/>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1D838B23" w14:textId="77777777" w:rsidR="0035031A" w:rsidRPr="00731010" w:rsidRDefault="0035031A" w:rsidP="00D30CC1">
            <w:pPr>
              <w:pStyle w:val="TableBody"/>
              <w:spacing w:after="40"/>
              <w:ind w:left="-29" w:firstLine="29"/>
              <w:rPr>
                <w:b w:val="0"/>
                <w:sz w:val="21"/>
                <w:szCs w:val="21"/>
              </w:rPr>
            </w:pPr>
            <w:r w:rsidRPr="00731010">
              <w:rPr>
                <w:b w:val="0"/>
                <w:sz w:val="21"/>
                <w:szCs w:val="21"/>
              </w:rPr>
              <w:t>Permanganate oxidizable carbon (</w:t>
            </w:r>
            <w:r>
              <w:rPr>
                <w:b w:val="0"/>
                <w:sz w:val="21"/>
                <w:szCs w:val="21"/>
              </w:rPr>
              <w:t>POX-</w:t>
            </w:r>
            <w:r w:rsidRPr="00731010">
              <w:rPr>
                <w:b w:val="0"/>
                <w:sz w:val="21"/>
                <w:szCs w:val="21"/>
              </w:rPr>
              <w:t>C)</w:t>
            </w:r>
          </w:p>
        </w:tc>
        <w:tc>
          <w:tcPr>
            <w:tcW w:w="1316" w:type="dxa"/>
            <w:shd w:val="clear" w:color="auto" w:fill="auto"/>
          </w:tcPr>
          <w:p w14:paraId="5A7D8964"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CASH</w:t>
            </w:r>
          </w:p>
        </w:tc>
        <w:tc>
          <w:tcPr>
            <w:tcW w:w="4646" w:type="dxa"/>
            <w:shd w:val="clear" w:color="auto" w:fill="auto"/>
          </w:tcPr>
          <w:p w14:paraId="1D0CACB4"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proofErr w:type="spellStart"/>
            <w:r w:rsidRPr="00731010">
              <w:rPr>
                <w:sz w:val="21"/>
                <w:szCs w:val="21"/>
              </w:rPr>
              <w:t>Photospectrometry</w:t>
            </w:r>
            <w:proofErr w:type="spellEnd"/>
            <w:r w:rsidRPr="00731010">
              <w:rPr>
                <w:sz w:val="21"/>
                <w:szCs w:val="21"/>
              </w:rPr>
              <w:t xml:space="preserve"> analysis of oxidized potassium permanganate extractant.</w:t>
            </w:r>
          </w:p>
        </w:tc>
        <w:tc>
          <w:tcPr>
            <w:tcW w:w="1633" w:type="dxa"/>
            <w:shd w:val="clear" w:color="auto" w:fill="auto"/>
          </w:tcPr>
          <w:p w14:paraId="0A4A3409"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proofErr w:type="spellStart"/>
            <w:r w:rsidRPr="00731010">
              <w:rPr>
                <w:sz w:val="21"/>
                <w:szCs w:val="21"/>
              </w:rPr>
              <w:t>Schindelbeck</w:t>
            </w:r>
            <w:proofErr w:type="spellEnd"/>
            <w:r w:rsidRPr="00731010">
              <w:rPr>
                <w:sz w:val="21"/>
                <w:szCs w:val="21"/>
              </w:rPr>
              <w:t xml:space="preserve"> et al., 2016</w:t>
            </w:r>
          </w:p>
        </w:tc>
      </w:tr>
      <w:tr w:rsidR="0035031A" w:rsidRPr="00731010" w14:paraId="34AF3CF1" w14:textId="77777777" w:rsidTr="00D30CC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2CD82AE4" w14:textId="77777777" w:rsidR="0035031A" w:rsidRPr="00731010" w:rsidRDefault="0035031A" w:rsidP="00D30CC1">
            <w:pPr>
              <w:pStyle w:val="TableBody"/>
              <w:spacing w:after="40"/>
              <w:ind w:left="-29" w:firstLine="29"/>
              <w:rPr>
                <w:b w:val="0"/>
                <w:sz w:val="21"/>
                <w:szCs w:val="21"/>
              </w:rPr>
            </w:pPr>
            <w:r w:rsidRPr="00731010">
              <w:rPr>
                <w:b w:val="0"/>
                <w:sz w:val="21"/>
                <w:szCs w:val="21"/>
              </w:rPr>
              <w:t>Autoclaved citrate extractable soil protein index (ACE)</w:t>
            </w:r>
          </w:p>
        </w:tc>
        <w:tc>
          <w:tcPr>
            <w:tcW w:w="1316" w:type="dxa"/>
            <w:shd w:val="clear" w:color="auto" w:fill="auto"/>
          </w:tcPr>
          <w:p w14:paraId="7BF22625"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CASH</w:t>
            </w:r>
          </w:p>
        </w:tc>
        <w:tc>
          <w:tcPr>
            <w:tcW w:w="4646" w:type="dxa"/>
            <w:shd w:val="clear" w:color="auto" w:fill="auto"/>
          </w:tcPr>
          <w:p w14:paraId="13AE57EC"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r w:rsidRPr="00731010">
              <w:rPr>
                <w:sz w:val="21"/>
                <w:szCs w:val="21"/>
              </w:rPr>
              <w:t>High pressure and temperature extraction of citrate solution.</w:t>
            </w:r>
          </w:p>
        </w:tc>
        <w:tc>
          <w:tcPr>
            <w:tcW w:w="1633" w:type="dxa"/>
            <w:shd w:val="clear" w:color="auto" w:fill="auto"/>
          </w:tcPr>
          <w:p w14:paraId="226FC397"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proofErr w:type="spellStart"/>
            <w:r w:rsidRPr="00731010">
              <w:rPr>
                <w:sz w:val="21"/>
                <w:szCs w:val="21"/>
              </w:rPr>
              <w:t>Schindelbeck</w:t>
            </w:r>
            <w:proofErr w:type="spellEnd"/>
            <w:r w:rsidRPr="00731010">
              <w:rPr>
                <w:sz w:val="21"/>
                <w:szCs w:val="21"/>
              </w:rPr>
              <w:t xml:space="preserve"> et al., 2016</w:t>
            </w:r>
          </w:p>
        </w:tc>
      </w:tr>
      <w:tr w:rsidR="0035031A" w:rsidRPr="00731010" w14:paraId="45FEE9DC" w14:textId="77777777" w:rsidTr="00D30CC1">
        <w:trPr>
          <w:trHeight w:val="240"/>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41C1AF29" w14:textId="77777777" w:rsidR="0035031A" w:rsidRPr="00731010" w:rsidRDefault="0035031A" w:rsidP="00D30CC1">
            <w:pPr>
              <w:pStyle w:val="TableBody"/>
              <w:spacing w:after="40"/>
              <w:ind w:left="-29" w:firstLine="29"/>
              <w:rPr>
                <w:b w:val="0"/>
                <w:sz w:val="21"/>
                <w:szCs w:val="21"/>
              </w:rPr>
            </w:pPr>
            <w:r w:rsidRPr="00731010">
              <w:rPr>
                <w:b w:val="0"/>
                <w:sz w:val="21"/>
                <w:szCs w:val="21"/>
              </w:rPr>
              <w:t>Soil microbial respiration 96-hour incubation (</w:t>
            </w:r>
            <w:proofErr w:type="spellStart"/>
            <w:r w:rsidRPr="00731010">
              <w:rPr>
                <w:b w:val="0"/>
                <w:sz w:val="21"/>
                <w:szCs w:val="21"/>
              </w:rPr>
              <w:t>Resp</w:t>
            </w:r>
            <w:proofErr w:type="spellEnd"/>
            <w:r w:rsidRPr="00731010">
              <w:rPr>
                <w:b w:val="0"/>
                <w:sz w:val="21"/>
                <w:szCs w:val="21"/>
              </w:rPr>
              <w:t xml:space="preserve"> (96 </w:t>
            </w:r>
            <w:proofErr w:type="spellStart"/>
            <w:r w:rsidRPr="00731010">
              <w:rPr>
                <w:b w:val="0"/>
                <w:sz w:val="21"/>
                <w:szCs w:val="21"/>
              </w:rPr>
              <w:t>hr</w:t>
            </w:r>
            <w:proofErr w:type="spellEnd"/>
            <w:r w:rsidRPr="00731010">
              <w:rPr>
                <w:b w:val="0"/>
                <w:sz w:val="21"/>
                <w:szCs w:val="21"/>
              </w:rPr>
              <w:t>))</w:t>
            </w:r>
          </w:p>
        </w:tc>
        <w:tc>
          <w:tcPr>
            <w:tcW w:w="1316" w:type="dxa"/>
            <w:shd w:val="clear" w:color="auto" w:fill="auto"/>
          </w:tcPr>
          <w:p w14:paraId="3E6987EB"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CASH</w:t>
            </w:r>
          </w:p>
        </w:tc>
        <w:tc>
          <w:tcPr>
            <w:tcW w:w="4646" w:type="dxa"/>
            <w:shd w:val="clear" w:color="auto" w:fill="auto"/>
          </w:tcPr>
          <w:p w14:paraId="71901BE8"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r w:rsidRPr="00731010">
              <w:rPr>
                <w:sz w:val="21"/>
                <w:szCs w:val="21"/>
              </w:rPr>
              <w:t>Quantification of CO</w:t>
            </w:r>
            <w:r w:rsidRPr="00731010">
              <w:rPr>
                <w:sz w:val="21"/>
                <w:szCs w:val="21"/>
                <w:vertAlign w:val="subscript"/>
              </w:rPr>
              <w:t>2</w:t>
            </w:r>
            <w:r w:rsidRPr="00731010">
              <w:rPr>
                <w:sz w:val="21"/>
                <w:szCs w:val="21"/>
              </w:rPr>
              <w:t xml:space="preserve"> gas trapped in solution evolved from re-wetted soil incubated 96 hours.</w:t>
            </w:r>
          </w:p>
        </w:tc>
        <w:tc>
          <w:tcPr>
            <w:tcW w:w="1633" w:type="dxa"/>
            <w:shd w:val="clear" w:color="auto" w:fill="auto"/>
          </w:tcPr>
          <w:p w14:paraId="408B95CE"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proofErr w:type="spellStart"/>
            <w:r w:rsidRPr="00731010">
              <w:rPr>
                <w:sz w:val="21"/>
                <w:szCs w:val="21"/>
              </w:rPr>
              <w:t>Schindelbeck</w:t>
            </w:r>
            <w:proofErr w:type="spellEnd"/>
            <w:r w:rsidRPr="00731010">
              <w:rPr>
                <w:sz w:val="21"/>
                <w:szCs w:val="21"/>
              </w:rPr>
              <w:t xml:space="preserve"> et al., 2016</w:t>
            </w:r>
          </w:p>
        </w:tc>
      </w:tr>
      <w:tr w:rsidR="0035031A" w:rsidRPr="00731010" w14:paraId="4904F9F5" w14:textId="77777777" w:rsidTr="00D30CC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5F5E7795" w14:textId="77777777" w:rsidR="0035031A" w:rsidRPr="00731010" w:rsidRDefault="0035031A" w:rsidP="00D30CC1">
            <w:pPr>
              <w:pStyle w:val="TableBody"/>
              <w:spacing w:after="40"/>
              <w:ind w:left="-29" w:firstLine="29"/>
              <w:rPr>
                <w:b w:val="0"/>
                <w:sz w:val="21"/>
                <w:szCs w:val="21"/>
              </w:rPr>
            </w:pPr>
            <w:r w:rsidRPr="00731010">
              <w:rPr>
                <w:b w:val="0"/>
                <w:sz w:val="21"/>
                <w:szCs w:val="21"/>
              </w:rPr>
              <w:t>Soil microbial respiration 24-hour incubation (</w:t>
            </w:r>
            <w:proofErr w:type="spellStart"/>
            <w:r w:rsidRPr="00731010">
              <w:rPr>
                <w:b w:val="0"/>
                <w:sz w:val="21"/>
                <w:szCs w:val="21"/>
              </w:rPr>
              <w:t>Resp</w:t>
            </w:r>
            <w:proofErr w:type="spellEnd"/>
            <w:r w:rsidRPr="00731010">
              <w:rPr>
                <w:b w:val="0"/>
                <w:sz w:val="21"/>
                <w:szCs w:val="21"/>
              </w:rPr>
              <w:t xml:space="preserve"> (24 </w:t>
            </w:r>
            <w:proofErr w:type="spellStart"/>
            <w:r w:rsidRPr="00731010">
              <w:rPr>
                <w:b w:val="0"/>
                <w:sz w:val="21"/>
                <w:szCs w:val="21"/>
              </w:rPr>
              <w:t>hr</w:t>
            </w:r>
            <w:proofErr w:type="spellEnd"/>
            <w:r w:rsidRPr="00731010">
              <w:rPr>
                <w:b w:val="0"/>
                <w:sz w:val="21"/>
                <w:szCs w:val="21"/>
              </w:rPr>
              <w:t>))</w:t>
            </w:r>
          </w:p>
        </w:tc>
        <w:tc>
          <w:tcPr>
            <w:tcW w:w="1316" w:type="dxa"/>
            <w:shd w:val="clear" w:color="auto" w:fill="auto"/>
          </w:tcPr>
          <w:p w14:paraId="461E8717"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HSHT</w:t>
            </w:r>
          </w:p>
        </w:tc>
        <w:tc>
          <w:tcPr>
            <w:tcW w:w="4646" w:type="dxa"/>
            <w:shd w:val="clear" w:color="auto" w:fill="auto"/>
          </w:tcPr>
          <w:p w14:paraId="1C314FC7"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r w:rsidRPr="00731010">
              <w:rPr>
                <w:sz w:val="21"/>
                <w:szCs w:val="21"/>
              </w:rPr>
              <w:t>Paper chromatography quantification of CO</w:t>
            </w:r>
            <w:r w:rsidRPr="00731010">
              <w:rPr>
                <w:sz w:val="21"/>
                <w:szCs w:val="21"/>
                <w:vertAlign w:val="subscript"/>
              </w:rPr>
              <w:t>2</w:t>
            </w:r>
            <w:r w:rsidRPr="00731010">
              <w:rPr>
                <w:sz w:val="21"/>
                <w:szCs w:val="21"/>
              </w:rPr>
              <w:t xml:space="preserve"> gas evolved from re-wetted soil incubated 24 hours.</w:t>
            </w:r>
          </w:p>
        </w:tc>
        <w:tc>
          <w:tcPr>
            <w:tcW w:w="1633" w:type="dxa"/>
            <w:shd w:val="clear" w:color="auto" w:fill="auto"/>
          </w:tcPr>
          <w:sdt>
            <w:sdtPr>
              <w:rPr>
                <w:color w:val="000000"/>
                <w:sz w:val="21"/>
                <w:szCs w:val="21"/>
              </w:rPr>
              <w:tag w:val="MENDELEY_CITATION_v3_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"/>
              <w:id w:val="815914640"/>
              <w:placeholder>
                <w:docPart w:val="C93B98862C661047A473270CA7A78A4A"/>
              </w:placeholder>
            </w:sdtPr>
            <w:sdtEndPr/>
            <w:sdtContent>
              <w:p w14:paraId="2ACE57A4" w14:textId="028944E8" w:rsidR="0035031A" w:rsidRPr="00731010" w:rsidRDefault="00256573"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r w:rsidRPr="00256573">
                  <w:rPr>
                    <w:color w:val="000000"/>
                    <w:sz w:val="21"/>
                    <w:szCs w:val="21"/>
                  </w:rPr>
                  <w:t>Haney 2020, Ward Laboratories 2020</w:t>
                </w:r>
              </w:p>
            </w:sdtContent>
          </w:sdt>
        </w:tc>
      </w:tr>
      <w:tr w:rsidR="0035031A" w:rsidRPr="00731010" w14:paraId="77D4E31E" w14:textId="77777777" w:rsidTr="00D30CC1">
        <w:trPr>
          <w:trHeight w:val="240"/>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5EF5FB80" w14:textId="77777777" w:rsidR="0035031A" w:rsidRPr="00731010" w:rsidRDefault="0035031A" w:rsidP="00D30CC1">
            <w:pPr>
              <w:pStyle w:val="TableBody"/>
              <w:spacing w:after="40"/>
              <w:ind w:left="-29" w:firstLine="29"/>
              <w:rPr>
                <w:b w:val="0"/>
                <w:sz w:val="21"/>
                <w:szCs w:val="21"/>
              </w:rPr>
            </w:pPr>
            <w:r w:rsidRPr="00731010">
              <w:rPr>
                <w:b w:val="0"/>
                <w:sz w:val="21"/>
                <w:szCs w:val="21"/>
              </w:rPr>
              <w:t>Water-extractable organic carbon (WEOC)</w:t>
            </w:r>
          </w:p>
        </w:tc>
        <w:tc>
          <w:tcPr>
            <w:tcW w:w="1316" w:type="dxa"/>
            <w:shd w:val="clear" w:color="auto" w:fill="auto"/>
          </w:tcPr>
          <w:p w14:paraId="1DBE52FD"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HSHT</w:t>
            </w:r>
          </w:p>
        </w:tc>
        <w:tc>
          <w:tcPr>
            <w:tcW w:w="4646" w:type="dxa"/>
            <w:shd w:val="clear" w:color="auto" w:fill="auto"/>
          </w:tcPr>
          <w:p w14:paraId="2982868F"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r w:rsidRPr="00731010">
              <w:rPr>
                <w:sz w:val="21"/>
                <w:szCs w:val="21"/>
              </w:rPr>
              <w:t xml:space="preserve">Quantification of organic C extracted with water from a soil sample. </w:t>
            </w:r>
          </w:p>
        </w:tc>
        <w:tc>
          <w:tcPr>
            <w:tcW w:w="1633" w:type="dxa"/>
            <w:shd w:val="clear" w:color="auto" w:fill="auto"/>
          </w:tcPr>
          <w:sdt>
            <w:sdtPr>
              <w:rPr>
                <w:color w:val="000000"/>
                <w:sz w:val="21"/>
                <w:szCs w:val="21"/>
              </w:rPr>
              <w:tag w:val="MENDELEY_CITATION_v3_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"/>
              <w:id w:val="-1324355512"/>
              <w:placeholder>
                <w:docPart w:val="C93B98862C661047A473270CA7A78A4A"/>
              </w:placeholder>
            </w:sdtPr>
            <w:sdtEndPr/>
            <w:sdtContent>
              <w:p w14:paraId="0F70DCD7" w14:textId="22D736DF" w:rsidR="0035031A" w:rsidRPr="00731010" w:rsidRDefault="00256573"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r w:rsidRPr="00256573">
                  <w:rPr>
                    <w:color w:val="000000"/>
                    <w:sz w:val="21"/>
                    <w:szCs w:val="21"/>
                  </w:rPr>
                  <w:t>Haney 2020, Ward Laboratories 2020</w:t>
                </w:r>
              </w:p>
            </w:sdtContent>
          </w:sdt>
        </w:tc>
      </w:tr>
      <w:tr w:rsidR="0035031A" w:rsidRPr="00731010" w14:paraId="0583358B" w14:textId="77777777" w:rsidTr="00D30CC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3D19ECE3" w14:textId="77777777" w:rsidR="0035031A" w:rsidRPr="00731010" w:rsidRDefault="0035031A" w:rsidP="00D30CC1">
            <w:pPr>
              <w:pStyle w:val="TableBody"/>
              <w:spacing w:after="40"/>
              <w:ind w:left="-29" w:firstLine="29"/>
              <w:rPr>
                <w:b w:val="0"/>
                <w:sz w:val="21"/>
                <w:szCs w:val="21"/>
              </w:rPr>
            </w:pPr>
            <w:r w:rsidRPr="00731010">
              <w:rPr>
                <w:b w:val="0"/>
                <w:sz w:val="21"/>
                <w:szCs w:val="21"/>
              </w:rPr>
              <w:t>Water-extractable organic nitrogen (WEON)</w:t>
            </w:r>
          </w:p>
        </w:tc>
        <w:tc>
          <w:tcPr>
            <w:tcW w:w="1316" w:type="dxa"/>
            <w:shd w:val="clear" w:color="auto" w:fill="auto"/>
          </w:tcPr>
          <w:p w14:paraId="26A18507"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HSHT</w:t>
            </w:r>
          </w:p>
        </w:tc>
        <w:tc>
          <w:tcPr>
            <w:tcW w:w="4646" w:type="dxa"/>
            <w:shd w:val="clear" w:color="auto" w:fill="auto"/>
          </w:tcPr>
          <w:p w14:paraId="1D7918BD"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r w:rsidRPr="00731010">
              <w:rPr>
                <w:sz w:val="21"/>
                <w:szCs w:val="21"/>
              </w:rPr>
              <w:t>Quantification of organic N extracted with water from a soil sample.</w:t>
            </w:r>
          </w:p>
        </w:tc>
        <w:tc>
          <w:tcPr>
            <w:tcW w:w="1633" w:type="dxa"/>
            <w:shd w:val="clear" w:color="auto" w:fill="auto"/>
          </w:tcPr>
          <w:sdt>
            <w:sdtPr>
              <w:rPr>
                <w:color w:val="000000"/>
                <w:sz w:val="21"/>
                <w:szCs w:val="21"/>
              </w:rPr>
              <w:tag w:val="MENDELEY_CITATION_v3_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"/>
              <w:id w:val="-677586476"/>
              <w:placeholder>
                <w:docPart w:val="C93B98862C661047A473270CA7A78A4A"/>
              </w:placeholder>
            </w:sdtPr>
            <w:sdtEndPr/>
            <w:sdtContent>
              <w:p w14:paraId="49B6D12B" w14:textId="502BAB39" w:rsidR="0035031A" w:rsidRPr="00731010" w:rsidRDefault="00256573"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r w:rsidRPr="00256573">
                  <w:rPr>
                    <w:color w:val="000000"/>
                    <w:sz w:val="21"/>
                    <w:szCs w:val="21"/>
                  </w:rPr>
                  <w:t>Haney 2020, Ward Laboratories 2020</w:t>
                </w:r>
              </w:p>
            </w:sdtContent>
          </w:sdt>
        </w:tc>
      </w:tr>
      <w:tr w:rsidR="0035031A" w:rsidRPr="00731010" w14:paraId="23EDB0E6" w14:textId="77777777" w:rsidTr="00D30CC1">
        <w:trPr>
          <w:trHeight w:val="240"/>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15A9BD96" w14:textId="77777777" w:rsidR="0035031A" w:rsidRPr="00731010" w:rsidRDefault="0035031A" w:rsidP="00D30CC1">
            <w:pPr>
              <w:pStyle w:val="TableBody"/>
              <w:spacing w:after="40"/>
              <w:rPr>
                <w:b w:val="0"/>
                <w:sz w:val="21"/>
                <w:szCs w:val="21"/>
                <w:highlight w:val="yellow"/>
              </w:rPr>
            </w:pPr>
            <w:r w:rsidRPr="00731010">
              <w:rPr>
                <w:b w:val="0"/>
                <w:sz w:val="21"/>
                <w:szCs w:val="21"/>
              </w:rPr>
              <w:t>pH</w:t>
            </w:r>
          </w:p>
        </w:tc>
        <w:tc>
          <w:tcPr>
            <w:tcW w:w="1316" w:type="dxa"/>
            <w:shd w:val="clear" w:color="auto" w:fill="auto"/>
          </w:tcPr>
          <w:p w14:paraId="2BDADDCA"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CASH</w:t>
            </w:r>
          </w:p>
        </w:tc>
        <w:tc>
          <w:tcPr>
            <w:tcW w:w="4646" w:type="dxa"/>
            <w:shd w:val="clear" w:color="auto" w:fill="auto"/>
          </w:tcPr>
          <w:p w14:paraId="067B4E00"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r w:rsidRPr="00731010">
              <w:rPr>
                <w:sz w:val="21"/>
                <w:szCs w:val="21"/>
              </w:rPr>
              <w:t>Voltage meter calibrated to determine Hydrogen ion activity in soil solution.</w:t>
            </w:r>
          </w:p>
        </w:tc>
        <w:tc>
          <w:tcPr>
            <w:tcW w:w="1633" w:type="dxa"/>
            <w:shd w:val="clear" w:color="auto" w:fill="auto"/>
          </w:tcPr>
          <w:sdt>
            <w:sdtPr>
              <w:rPr>
                <w:color w:val="000000"/>
                <w:sz w:val="21"/>
                <w:szCs w:val="21"/>
              </w:rPr>
              <w:tag w:val="MENDELEY_CITATION_v3_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"/>
              <w:id w:val="485517404"/>
              <w:placeholder>
                <w:docPart w:val="C93B98862C661047A473270CA7A78A4A"/>
              </w:placeholder>
            </w:sdtPr>
            <w:sdtEndPr/>
            <w:sdtContent>
              <w:p w14:paraId="436C11A5" w14:textId="02724BF2" w:rsidR="0035031A" w:rsidRPr="00731010" w:rsidRDefault="00256573"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r w:rsidRPr="00256573">
                  <w:rPr>
                    <w:color w:val="000000"/>
                    <w:sz w:val="21"/>
                    <w:szCs w:val="21"/>
                  </w:rPr>
                  <w:t>Watson and Brown 1998</w:t>
                </w:r>
              </w:p>
            </w:sdtContent>
          </w:sdt>
        </w:tc>
      </w:tr>
      <w:tr w:rsidR="0035031A" w:rsidRPr="00731010" w14:paraId="03942FC3" w14:textId="77777777" w:rsidTr="00D30CC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70A825BE" w14:textId="77777777" w:rsidR="0035031A" w:rsidRPr="00731010" w:rsidRDefault="0035031A" w:rsidP="00D30CC1">
            <w:pPr>
              <w:pStyle w:val="TableBody"/>
              <w:spacing w:after="40"/>
              <w:rPr>
                <w:b w:val="0"/>
                <w:sz w:val="21"/>
                <w:szCs w:val="21"/>
              </w:rPr>
            </w:pPr>
            <w:r w:rsidRPr="00731010">
              <w:rPr>
                <w:b w:val="0"/>
                <w:sz w:val="21"/>
                <w:szCs w:val="21"/>
              </w:rPr>
              <w:t>Soil chemical nutrients: P, K</w:t>
            </w:r>
          </w:p>
        </w:tc>
        <w:tc>
          <w:tcPr>
            <w:tcW w:w="1316" w:type="dxa"/>
            <w:shd w:val="clear" w:color="auto" w:fill="auto"/>
          </w:tcPr>
          <w:p w14:paraId="7DBCE115"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SMAF</w:t>
            </w:r>
          </w:p>
        </w:tc>
        <w:tc>
          <w:tcPr>
            <w:tcW w:w="4646" w:type="dxa"/>
            <w:shd w:val="clear" w:color="auto" w:fill="auto"/>
          </w:tcPr>
          <w:p w14:paraId="5213D498"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proofErr w:type="spellStart"/>
            <w:r w:rsidRPr="00731010">
              <w:rPr>
                <w:sz w:val="21"/>
                <w:szCs w:val="21"/>
              </w:rPr>
              <w:t>Mehlich</w:t>
            </w:r>
            <w:proofErr w:type="spellEnd"/>
            <w:r w:rsidRPr="00731010">
              <w:rPr>
                <w:sz w:val="21"/>
                <w:szCs w:val="21"/>
              </w:rPr>
              <w:t xml:space="preserve">-III </w:t>
            </w:r>
            <w:proofErr w:type="spellStart"/>
            <w:r w:rsidRPr="00731010">
              <w:rPr>
                <w:sz w:val="21"/>
                <w:szCs w:val="21"/>
              </w:rPr>
              <w:t>extractant</w:t>
            </w:r>
            <w:proofErr w:type="spellEnd"/>
            <w:r w:rsidRPr="00731010">
              <w:rPr>
                <w:sz w:val="21"/>
                <w:szCs w:val="21"/>
              </w:rPr>
              <w:t xml:space="preserve"> method and quantified using inductively coupled atomic plasma spectroscopy.</w:t>
            </w:r>
          </w:p>
        </w:tc>
        <w:tc>
          <w:tcPr>
            <w:tcW w:w="1633" w:type="dxa"/>
            <w:shd w:val="clear" w:color="auto" w:fill="auto"/>
          </w:tcPr>
          <w:p w14:paraId="5DCFAFB2" w14:textId="53ED7AC2" w:rsidR="0035031A" w:rsidRPr="00731010" w:rsidRDefault="00266C81"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sdt>
              <w:sdtPr>
                <w:rPr>
                  <w:color w:val="000000"/>
                  <w:sz w:val="21"/>
                  <w:szCs w:val="21"/>
                </w:rPr>
                <w:tag w:val="MENDELEY_CITATION_v3_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"/>
                <w:id w:val="-582448207"/>
                <w:placeholder>
                  <w:docPart w:val="DefaultPlaceholder_-1854013440"/>
                </w:placeholder>
              </w:sdtPr>
              <w:sdtEndPr/>
              <w:sdtContent>
                <w:r w:rsidR="007403B6" w:rsidRPr="007403B6">
                  <w:rPr>
                    <w:color w:val="000000"/>
                    <w:sz w:val="21"/>
                    <w:szCs w:val="21"/>
                  </w:rPr>
                  <w:t>(Soil and Plant Analysis Council, 1999)</w:t>
                </w:r>
              </w:sdtContent>
            </w:sdt>
            <w:r w:rsidR="0035031A" w:rsidRPr="00731010">
              <w:rPr>
                <w:sz w:val="21"/>
                <w:szCs w:val="21"/>
              </w:rPr>
              <w:t xml:space="preserve">; </w:t>
            </w:r>
            <w:sdt>
              <w:sdtPr>
                <w:rPr>
                  <w:color w:val="000000"/>
                  <w:sz w:val="21"/>
                  <w:szCs w:val="21"/>
                </w:rPr>
                <w:tag w:val="MENDELEY_CITATION_v3_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"/>
                <w:id w:val="1273053482"/>
                <w:placeholder>
                  <w:docPart w:val="F15D77EFEE08864EBE1F346A1E56262C"/>
                </w:placeholder>
              </w:sdtPr>
              <w:sdtEndPr/>
              <w:sdtContent>
                <w:proofErr w:type="spellStart"/>
                <w:r w:rsidR="00256573" w:rsidRPr="00256573">
                  <w:rPr>
                    <w:color w:val="000000"/>
                    <w:sz w:val="21"/>
                    <w:szCs w:val="21"/>
                  </w:rPr>
                  <w:t>Warncke</w:t>
                </w:r>
                <w:proofErr w:type="spellEnd"/>
                <w:r w:rsidR="00256573" w:rsidRPr="00256573">
                  <w:rPr>
                    <w:color w:val="000000"/>
                    <w:sz w:val="21"/>
                    <w:szCs w:val="21"/>
                  </w:rPr>
                  <w:t xml:space="preserve"> and Brown 1998</w:t>
                </w:r>
              </w:sdtContent>
            </w:sdt>
          </w:p>
        </w:tc>
      </w:tr>
      <w:tr w:rsidR="0035031A" w:rsidRPr="00731010" w14:paraId="0586CC85" w14:textId="77777777" w:rsidTr="00D30CC1">
        <w:trPr>
          <w:trHeight w:val="254"/>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66F8F520" w14:textId="77777777" w:rsidR="0035031A" w:rsidRPr="00731010" w:rsidRDefault="0035031A" w:rsidP="00D30CC1">
            <w:pPr>
              <w:pStyle w:val="TableBody"/>
              <w:spacing w:after="40"/>
              <w:rPr>
                <w:b w:val="0"/>
                <w:sz w:val="21"/>
                <w:szCs w:val="21"/>
              </w:rPr>
            </w:pPr>
            <w:r w:rsidRPr="00731010">
              <w:rPr>
                <w:b w:val="0"/>
                <w:sz w:val="21"/>
                <w:szCs w:val="21"/>
              </w:rPr>
              <w:t>Available water capacity (AWC)</w:t>
            </w:r>
          </w:p>
        </w:tc>
        <w:tc>
          <w:tcPr>
            <w:tcW w:w="1316" w:type="dxa"/>
            <w:shd w:val="clear" w:color="auto" w:fill="auto"/>
          </w:tcPr>
          <w:p w14:paraId="77E0A9AF"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CASH, SMAF</w:t>
            </w:r>
          </w:p>
        </w:tc>
        <w:tc>
          <w:tcPr>
            <w:tcW w:w="4646" w:type="dxa"/>
            <w:shd w:val="clear" w:color="auto" w:fill="auto"/>
          </w:tcPr>
          <w:p w14:paraId="00DA8F58"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r w:rsidRPr="00731010">
              <w:rPr>
                <w:sz w:val="21"/>
                <w:szCs w:val="21"/>
              </w:rPr>
              <w:t>Amount of water extracted from a pulverized and sieved soil sample using a pressure chamber.</w:t>
            </w:r>
          </w:p>
        </w:tc>
        <w:tc>
          <w:tcPr>
            <w:tcW w:w="1633" w:type="dxa"/>
            <w:shd w:val="clear" w:color="auto" w:fill="auto"/>
          </w:tcPr>
          <w:p w14:paraId="5BB9E4AE"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proofErr w:type="spellStart"/>
            <w:r w:rsidRPr="00731010">
              <w:rPr>
                <w:sz w:val="21"/>
                <w:szCs w:val="21"/>
              </w:rPr>
              <w:t>Schindelbeck</w:t>
            </w:r>
            <w:proofErr w:type="spellEnd"/>
            <w:r w:rsidRPr="00731010">
              <w:rPr>
                <w:sz w:val="21"/>
                <w:szCs w:val="21"/>
              </w:rPr>
              <w:t xml:space="preserve"> et al., 2016</w:t>
            </w:r>
          </w:p>
        </w:tc>
      </w:tr>
      <w:tr w:rsidR="0035031A" w:rsidRPr="00731010" w14:paraId="2FF6EE2F" w14:textId="77777777" w:rsidTr="00D30CC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1F60B913" w14:textId="77777777" w:rsidR="0035031A" w:rsidRPr="00731010" w:rsidRDefault="0035031A" w:rsidP="00D30CC1">
            <w:pPr>
              <w:pStyle w:val="TableBody"/>
              <w:spacing w:after="40"/>
              <w:rPr>
                <w:b w:val="0"/>
                <w:sz w:val="21"/>
                <w:szCs w:val="21"/>
              </w:rPr>
            </w:pPr>
            <w:r w:rsidRPr="00731010">
              <w:rPr>
                <w:b w:val="0"/>
                <w:sz w:val="21"/>
                <w:szCs w:val="21"/>
              </w:rPr>
              <w:t>Soil wet aggregate stability (WAS)</w:t>
            </w:r>
          </w:p>
        </w:tc>
        <w:tc>
          <w:tcPr>
            <w:tcW w:w="1316" w:type="dxa"/>
            <w:shd w:val="clear" w:color="auto" w:fill="auto"/>
          </w:tcPr>
          <w:p w14:paraId="5CA8CE90"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CASH</w:t>
            </w:r>
          </w:p>
        </w:tc>
        <w:tc>
          <w:tcPr>
            <w:tcW w:w="4646" w:type="dxa"/>
            <w:shd w:val="clear" w:color="auto" w:fill="auto"/>
          </w:tcPr>
          <w:p w14:paraId="53096126"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r w:rsidRPr="00731010">
              <w:rPr>
                <w:sz w:val="21"/>
                <w:szCs w:val="21"/>
              </w:rPr>
              <w:t xml:space="preserve">Calculated from soil remaining on a 0.25 mm sieve following simulated rainfall. </w:t>
            </w:r>
          </w:p>
        </w:tc>
        <w:tc>
          <w:tcPr>
            <w:tcW w:w="1633" w:type="dxa"/>
            <w:shd w:val="clear" w:color="auto" w:fill="auto"/>
          </w:tcPr>
          <w:p w14:paraId="29E0CBCB" w14:textId="77777777" w:rsidR="0035031A" w:rsidRPr="00731010" w:rsidRDefault="0035031A" w:rsidP="00D30CC1">
            <w:pPr>
              <w:pStyle w:val="TableBody"/>
              <w:spacing w:after="40"/>
              <w:cnfStyle w:val="000000100000" w:firstRow="0" w:lastRow="0" w:firstColumn="0" w:lastColumn="0" w:oddVBand="0" w:evenVBand="0" w:oddHBand="1" w:evenHBand="0" w:firstRowFirstColumn="0" w:firstRowLastColumn="0" w:lastRowFirstColumn="0" w:lastRowLastColumn="0"/>
              <w:rPr>
                <w:sz w:val="21"/>
                <w:szCs w:val="21"/>
              </w:rPr>
            </w:pPr>
            <w:proofErr w:type="spellStart"/>
            <w:r w:rsidRPr="00731010">
              <w:rPr>
                <w:sz w:val="21"/>
                <w:szCs w:val="21"/>
              </w:rPr>
              <w:t>Schindelbeck</w:t>
            </w:r>
            <w:proofErr w:type="spellEnd"/>
            <w:r w:rsidRPr="00731010">
              <w:rPr>
                <w:sz w:val="21"/>
                <w:szCs w:val="21"/>
              </w:rPr>
              <w:t xml:space="preserve"> et al., 2016</w:t>
            </w:r>
          </w:p>
        </w:tc>
      </w:tr>
      <w:tr w:rsidR="0035031A" w:rsidRPr="00731010" w14:paraId="50F016B7" w14:textId="77777777" w:rsidTr="00D30CC1">
        <w:trPr>
          <w:trHeight w:val="240"/>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2F1C46D5" w14:textId="77777777" w:rsidR="0035031A" w:rsidRPr="00731010" w:rsidRDefault="0035031A" w:rsidP="00D30CC1">
            <w:pPr>
              <w:pStyle w:val="TableBody"/>
              <w:spacing w:after="40"/>
              <w:rPr>
                <w:b w:val="0"/>
                <w:sz w:val="21"/>
                <w:szCs w:val="21"/>
              </w:rPr>
            </w:pPr>
            <w:r w:rsidRPr="00731010">
              <w:rPr>
                <w:b w:val="0"/>
                <w:sz w:val="21"/>
                <w:szCs w:val="21"/>
              </w:rPr>
              <w:t>Sand, silt, and clay</w:t>
            </w:r>
          </w:p>
        </w:tc>
        <w:tc>
          <w:tcPr>
            <w:tcW w:w="1316" w:type="dxa"/>
            <w:shd w:val="clear" w:color="auto" w:fill="auto"/>
          </w:tcPr>
          <w:p w14:paraId="6AD63756"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p>
        </w:tc>
        <w:tc>
          <w:tcPr>
            <w:tcW w:w="4646" w:type="dxa"/>
            <w:shd w:val="clear" w:color="auto" w:fill="auto"/>
          </w:tcPr>
          <w:p w14:paraId="3715D5E7"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r w:rsidRPr="00731010">
              <w:rPr>
                <w:sz w:val="21"/>
                <w:szCs w:val="21"/>
              </w:rPr>
              <w:t xml:space="preserve">Rapid 4-hour quantification of sand, silt, and clay from soil/water solution. </w:t>
            </w:r>
          </w:p>
        </w:tc>
        <w:tc>
          <w:tcPr>
            <w:tcW w:w="1633" w:type="dxa"/>
            <w:shd w:val="clear" w:color="auto" w:fill="auto"/>
          </w:tcPr>
          <w:p w14:paraId="5BBBDBE7" w14:textId="77777777" w:rsidR="0035031A" w:rsidRPr="00731010" w:rsidRDefault="0035031A" w:rsidP="00D30CC1">
            <w:pPr>
              <w:pStyle w:val="TableBody"/>
              <w:spacing w:after="40"/>
              <w:cnfStyle w:val="000000000000" w:firstRow="0" w:lastRow="0" w:firstColumn="0" w:lastColumn="0" w:oddVBand="0" w:evenVBand="0" w:oddHBand="0" w:evenHBand="0" w:firstRowFirstColumn="0" w:firstRowLastColumn="0" w:lastRowFirstColumn="0" w:lastRowLastColumn="0"/>
              <w:rPr>
                <w:sz w:val="21"/>
                <w:szCs w:val="21"/>
              </w:rPr>
            </w:pPr>
            <w:proofErr w:type="spellStart"/>
            <w:r w:rsidRPr="00731010">
              <w:rPr>
                <w:sz w:val="21"/>
                <w:szCs w:val="21"/>
              </w:rPr>
              <w:t>Schindelbeck</w:t>
            </w:r>
            <w:proofErr w:type="spellEnd"/>
            <w:r w:rsidRPr="00731010">
              <w:rPr>
                <w:sz w:val="21"/>
                <w:szCs w:val="21"/>
              </w:rPr>
              <w:t xml:space="preserve"> et al., 2016</w:t>
            </w:r>
          </w:p>
        </w:tc>
      </w:tr>
    </w:tbl>
    <w:p w14:paraId="25A4569B" w14:textId="77777777" w:rsidR="0035031A" w:rsidRPr="009200F4" w:rsidRDefault="0035031A" w:rsidP="0035031A">
      <w:pPr>
        <w:rPr>
          <w:b/>
        </w:rPr>
        <w:sectPr w:rsidR="0035031A" w:rsidRPr="009200F4" w:rsidSect="00AF255B">
          <w:pgSz w:w="12240" w:h="15840"/>
          <w:pgMar w:top="1440" w:right="1440" w:bottom="1440" w:left="1440" w:header="720" w:footer="720" w:gutter="0"/>
          <w:lnNumType w:countBy="1" w:restart="continuous"/>
          <w:cols w:space="720"/>
          <w:docGrid w:linePitch="360"/>
        </w:sectPr>
      </w:pPr>
      <w:r>
        <w:t>Notes: SHA, soil health assessment; CASH, Comprehensive assessment of soil health; SMAF, soil management assessment framework; HSHT, Haney soil health tool.</w:t>
      </w:r>
    </w:p>
    <w:p w14:paraId="2C9B2FE8" w14:textId="6859B48C" w:rsidR="0035031A" w:rsidRDefault="0035031A" w:rsidP="0035031A">
      <w:pPr>
        <w:pStyle w:val="ParaText"/>
        <w:spacing w:line="240" w:lineRule="auto"/>
        <w:ind w:firstLine="0"/>
        <w:contextualSpacing/>
        <w:rPr>
          <w:b/>
          <w:bCs/>
        </w:rPr>
      </w:pPr>
      <w:r w:rsidRPr="00FB517A">
        <w:rPr>
          <w:b/>
          <w:bCs/>
        </w:rPr>
        <w:lastRenderedPageBreak/>
        <w:t>T</w:t>
      </w:r>
      <w:r>
        <w:rPr>
          <w:b/>
          <w:bCs/>
        </w:rPr>
        <w:t>able S</w:t>
      </w:r>
      <w:r w:rsidR="001E0254">
        <w:rPr>
          <w:b/>
          <w:bCs/>
        </w:rPr>
        <w:t>3</w:t>
      </w:r>
    </w:p>
    <w:p w14:paraId="5889A894" w14:textId="77777777" w:rsidR="0035031A" w:rsidRPr="006D7979" w:rsidRDefault="0035031A" w:rsidP="0035031A">
      <w:pPr>
        <w:pStyle w:val="ParaText"/>
        <w:spacing w:before="0" w:line="240" w:lineRule="auto"/>
        <w:ind w:firstLine="0"/>
        <w:contextualSpacing/>
      </w:pPr>
      <w:r>
        <w:t>The USDA-NRCS soil taxonomic classifications for 35 Soil Health Partnership sites.</w:t>
      </w:r>
    </w:p>
    <w:tbl>
      <w:tblPr>
        <w:tblStyle w:val="TableGrid"/>
        <w:tblW w:w="94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8197"/>
      </w:tblGrid>
      <w:tr w:rsidR="0035031A" w:rsidRPr="00BD0397" w14:paraId="1BCF3218" w14:textId="77777777" w:rsidTr="00D30CC1">
        <w:trPr>
          <w:trHeight w:val="249"/>
        </w:trPr>
        <w:tc>
          <w:tcPr>
            <w:tcW w:w="1243" w:type="dxa"/>
            <w:tcBorders>
              <w:top w:val="single" w:sz="4" w:space="0" w:color="auto"/>
              <w:bottom w:val="single" w:sz="4" w:space="0" w:color="auto"/>
            </w:tcBorders>
            <w:noWrap/>
            <w:hideMark/>
          </w:tcPr>
          <w:p w14:paraId="341512AE" w14:textId="77777777" w:rsidR="0035031A" w:rsidRPr="00AA6E87" w:rsidRDefault="0035031A" w:rsidP="00D30CC1">
            <w:pPr>
              <w:spacing w:after="200"/>
              <w:contextualSpacing/>
              <w:rPr>
                <w:b/>
                <w:bCs/>
              </w:rPr>
            </w:pPr>
            <w:r w:rsidRPr="00AA6E87">
              <w:rPr>
                <w:b/>
                <w:bCs/>
              </w:rPr>
              <w:t>Site</w:t>
            </w:r>
          </w:p>
        </w:tc>
        <w:tc>
          <w:tcPr>
            <w:tcW w:w="8197" w:type="dxa"/>
            <w:tcBorders>
              <w:top w:val="single" w:sz="4" w:space="0" w:color="auto"/>
              <w:bottom w:val="single" w:sz="4" w:space="0" w:color="auto"/>
            </w:tcBorders>
            <w:noWrap/>
            <w:hideMark/>
          </w:tcPr>
          <w:p w14:paraId="277A59AE" w14:textId="77777777" w:rsidR="0035031A" w:rsidRPr="00AA6E87" w:rsidRDefault="0035031A" w:rsidP="00D30CC1">
            <w:pPr>
              <w:spacing w:after="200"/>
              <w:contextualSpacing/>
              <w:rPr>
                <w:b/>
                <w:bCs/>
              </w:rPr>
            </w:pPr>
            <w:r w:rsidRPr="00AA6E87">
              <w:rPr>
                <w:b/>
                <w:bCs/>
              </w:rPr>
              <w:t>Taxonomic Classification</w:t>
            </w:r>
          </w:p>
        </w:tc>
      </w:tr>
      <w:tr w:rsidR="0035031A" w:rsidRPr="00BD0397" w14:paraId="1B0BF2AB" w14:textId="77777777" w:rsidTr="00D30CC1">
        <w:trPr>
          <w:trHeight w:val="249"/>
        </w:trPr>
        <w:tc>
          <w:tcPr>
            <w:tcW w:w="1243" w:type="dxa"/>
            <w:tcBorders>
              <w:top w:val="single" w:sz="4" w:space="0" w:color="auto"/>
            </w:tcBorders>
            <w:noWrap/>
            <w:hideMark/>
          </w:tcPr>
          <w:p w14:paraId="76C179F0" w14:textId="77777777" w:rsidR="0035031A" w:rsidRPr="006D7979" w:rsidRDefault="0035031A" w:rsidP="00D30CC1">
            <w:pPr>
              <w:spacing w:after="200"/>
              <w:contextualSpacing/>
            </w:pPr>
            <w:r w:rsidRPr="006D7979">
              <w:t>1</w:t>
            </w:r>
          </w:p>
        </w:tc>
        <w:tc>
          <w:tcPr>
            <w:tcW w:w="8197" w:type="dxa"/>
            <w:tcBorders>
              <w:top w:val="single" w:sz="4" w:space="0" w:color="auto"/>
            </w:tcBorders>
            <w:noWrap/>
            <w:hideMark/>
          </w:tcPr>
          <w:p w14:paraId="776FE75E" w14:textId="77777777" w:rsidR="0035031A" w:rsidRPr="006D7979" w:rsidRDefault="0035031A" w:rsidP="00D30CC1">
            <w:pPr>
              <w:spacing w:after="200"/>
              <w:contextualSpacing/>
            </w:pPr>
            <w:r w:rsidRPr="006D7979">
              <w:t xml:space="preserve">Fine-silty, mixed, </w:t>
            </w:r>
            <w:proofErr w:type="spellStart"/>
            <w:r w:rsidRPr="006D7979">
              <w:t>superactive</w:t>
            </w:r>
            <w:proofErr w:type="spellEnd"/>
            <w:r w:rsidRPr="006D7979">
              <w:t>, mesic Udic Haplustolls</w:t>
            </w:r>
          </w:p>
        </w:tc>
      </w:tr>
      <w:tr w:rsidR="0035031A" w:rsidRPr="00BD0397" w14:paraId="7B7E9481" w14:textId="77777777" w:rsidTr="00D30CC1">
        <w:trPr>
          <w:trHeight w:val="249"/>
        </w:trPr>
        <w:tc>
          <w:tcPr>
            <w:tcW w:w="1243" w:type="dxa"/>
            <w:noWrap/>
            <w:hideMark/>
          </w:tcPr>
          <w:p w14:paraId="346944CA" w14:textId="77777777" w:rsidR="0035031A" w:rsidRPr="00AA6E87" w:rsidRDefault="0035031A" w:rsidP="00D30CC1">
            <w:pPr>
              <w:spacing w:after="200"/>
              <w:contextualSpacing/>
            </w:pPr>
            <w:r w:rsidRPr="00AA6E87">
              <w:t>2</w:t>
            </w:r>
          </w:p>
        </w:tc>
        <w:tc>
          <w:tcPr>
            <w:tcW w:w="8197" w:type="dxa"/>
            <w:noWrap/>
            <w:hideMark/>
          </w:tcPr>
          <w:p w14:paraId="4580DBD7" w14:textId="77777777" w:rsidR="0035031A" w:rsidRPr="00AA6E87" w:rsidRDefault="0035031A" w:rsidP="00D30CC1">
            <w:pPr>
              <w:spacing w:after="200"/>
              <w:contextualSpacing/>
            </w:pPr>
            <w:r w:rsidRPr="00AA6E87">
              <w:t xml:space="preserve">Fine-loamy over sandy or sandy-skeletal, mixed, </w:t>
            </w:r>
            <w:proofErr w:type="spellStart"/>
            <w:r w:rsidRPr="00AA6E87">
              <w:t>superactive</w:t>
            </w:r>
            <w:proofErr w:type="spellEnd"/>
            <w:r w:rsidRPr="00AA6E87">
              <w:t xml:space="preserve">, mesic </w:t>
            </w:r>
            <w:proofErr w:type="spellStart"/>
            <w:r w:rsidRPr="00AA6E87">
              <w:t>Typic</w:t>
            </w:r>
            <w:proofErr w:type="spellEnd"/>
            <w:r w:rsidRPr="00AA6E87">
              <w:t xml:space="preserve"> </w:t>
            </w:r>
            <w:proofErr w:type="spellStart"/>
            <w:r w:rsidRPr="00AA6E87">
              <w:t>Argiaquolls</w:t>
            </w:r>
            <w:proofErr w:type="spellEnd"/>
          </w:p>
        </w:tc>
      </w:tr>
      <w:tr w:rsidR="0035031A" w:rsidRPr="00BD0397" w14:paraId="095D6EAC" w14:textId="77777777" w:rsidTr="00D30CC1">
        <w:trPr>
          <w:trHeight w:val="249"/>
        </w:trPr>
        <w:tc>
          <w:tcPr>
            <w:tcW w:w="1243" w:type="dxa"/>
            <w:noWrap/>
            <w:hideMark/>
          </w:tcPr>
          <w:p w14:paraId="42140B0E" w14:textId="77777777" w:rsidR="0035031A" w:rsidRPr="00AA6E87" w:rsidRDefault="0035031A" w:rsidP="00D30CC1">
            <w:pPr>
              <w:spacing w:after="200"/>
              <w:contextualSpacing/>
            </w:pPr>
            <w:r w:rsidRPr="00AA6E87">
              <w:t>3</w:t>
            </w:r>
          </w:p>
        </w:tc>
        <w:tc>
          <w:tcPr>
            <w:tcW w:w="8197" w:type="dxa"/>
            <w:noWrap/>
            <w:hideMark/>
          </w:tcPr>
          <w:p w14:paraId="15F8EB09" w14:textId="77777777" w:rsidR="0035031A" w:rsidRPr="00AA6E87" w:rsidRDefault="0035031A" w:rsidP="00D30CC1">
            <w:pPr>
              <w:spacing w:after="200"/>
              <w:contextualSpacing/>
            </w:pPr>
            <w:r w:rsidRPr="00AA6E87">
              <w:t xml:space="preserve">Fine-loamy, mixed, </w:t>
            </w:r>
            <w:proofErr w:type="spellStart"/>
            <w:r w:rsidRPr="00AA6E87">
              <w:t>superactive</w:t>
            </w:r>
            <w:proofErr w:type="spellEnd"/>
            <w:r w:rsidRPr="00AA6E87">
              <w:t>, mesic Aquic Hapludolls</w:t>
            </w:r>
          </w:p>
        </w:tc>
      </w:tr>
      <w:tr w:rsidR="0035031A" w:rsidRPr="00BD0397" w14:paraId="443AC63D" w14:textId="77777777" w:rsidTr="00D30CC1">
        <w:trPr>
          <w:trHeight w:val="249"/>
        </w:trPr>
        <w:tc>
          <w:tcPr>
            <w:tcW w:w="1243" w:type="dxa"/>
            <w:noWrap/>
            <w:hideMark/>
          </w:tcPr>
          <w:p w14:paraId="606B6B03" w14:textId="77777777" w:rsidR="0035031A" w:rsidRPr="00AA6E87" w:rsidRDefault="0035031A" w:rsidP="00D30CC1">
            <w:pPr>
              <w:spacing w:after="200"/>
              <w:contextualSpacing/>
            </w:pPr>
            <w:r w:rsidRPr="00AA6E87">
              <w:t>4</w:t>
            </w:r>
          </w:p>
        </w:tc>
        <w:tc>
          <w:tcPr>
            <w:tcW w:w="8197" w:type="dxa"/>
            <w:noWrap/>
            <w:hideMark/>
          </w:tcPr>
          <w:p w14:paraId="13F54A94" w14:textId="77777777" w:rsidR="0035031A" w:rsidRPr="00AA6E87" w:rsidRDefault="0035031A" w:rsidP="00D30CC1">
            <w:pPr>
              <w:spacing w:after="200"/>
              <w:contextualSpacing/>
            </w:pPr>
            <w:r w:rsidRPr="00AA6E87">
              <w:t xml:space="preserve">Fine-silty, mixed, </w:t>
            </w:r>
            <w:proofErr w:type="spellStart"/>
            <w:r w:rsidRPr="00AA6E87">
              <w:t>superactive</w:t>
            </w:r>
            <w:proofErr w:type="spellEnd"/>
            <w:r w:rsidRPr="00AA6E87">
              <w:t xml:space="preserve">, mesic </w:t>
            </w:r>
            <w:proofErr w:type="spellStart"/>
            <w:r w:rsidRPr="00AA6E87">
              <w:t>Typic</w:t>
            </w:r>
            <w:proofErr w:type="spellEnd"/>
            <w:r w:rsidRPr="00AA6E87">
              <w:t xml:space="preserve"> </w:t>
            </w:r>
            <w:proofErr w:type="spellStart"/>
            <w:r w:rsidRPr="00AA6E87">
              <w:t>Argiudolls</w:t>
            </w:r>
            <w:proofErr w:type="spellEnd"/>
          </w:p>
        </w:tc>
      </w:tr>
      <w:tr w:rsidR="0035031A" w:rsidRPr="00BD0397" w14:paraId="6BE203EB" w14:textId="77777777" w:rsidTr="00D30CC1">
        <w:trPr>
          <w:trHeight w:val="249"/>
        </w:trPr>
        <w:tc>
          <w:tcPr>
            <w:tcW w:w="1243" w:type="dxa"/>
            <w:noWrap/>
            <w:hideMark/>
          </w:tcPr>
          <w:p w14:paraId="1DD3EE06" w14:textId="77777777" w:rsidR="0035031A" w:rsidRPr="00AA6E87" w:rsidRDefault="0035031A" w:rsidP="00D30CC1">
            <w:pPr>
              <w:spacing w:after="200"/>
              <w:contextualSpacing/>
            </w:pPr>
            <w:r w:rsidRPr="00AA6E87">
              <w:t>5</w:t>
            </w:r>
          </w:p>
        </w:tc>
        <w:tc>
          <w:tcPr>
            <w:tcW w:w="8197" w:type="dxa"/>
            <w:noWrap/>
            <w:hideMark/>
          </w:tcPr>
          <w:p w14:paraId="665F2A2E" w14:textId="77777777" w:rsidR="0035031A" w:rsidRPr="00AA6E87" w:rsidRDefault="0035031A" w:rsidP="00D30CC1">
            <w:pPr>
              <w:spacing w:after="200"/>
              <w:contextualSpacing/>
            </w:pPr>
            <w:r w:rsidRPr="00AA6E87">
              <w:t xml:space="preserve">Fine, </w:t>
            </w:r>
            <w:proofErr w:type="spellStart"/>
            <w:r w:rsidRPr="00AA6E87">
              <w:t>smectitic</w:t>
            </w:r>
            <w:proofErr w:type="spellEnd"/>
            <w:r w:rsidRPr="00AA6E87">
              <w:t xml:space="preserve">, mesic </w:t>
            </w:r>
            <w:proofErr w:type="spellStart"/>
            <w:r w:rsidRPr="00AA6E87">
              <w:t>Vertic</w:t>
            </w:r>
            <w:proofErr w:type="spellEnd"/>
            <w:r w:rsidRPr="00AA6E87">
              <w:t xml:space="preserve"> </w:t>
            </w:r>
            <w:proofErr w:type="spellStart"/>
            <w:r w:rsidRPr="00AA6E87">
              <w:t>Endoaquolls</w:t>
            </w:r>
            <w:proofErr w:type="spellEnd"/>
          </w:p>
        </w:tc>
      </w:tr>
      <w:tr w:rsidR="0035031A" w:rsidRPr="00BD0397" w14:paraId="26A95F5A" w14:textId="77777777" w:rsidTr="00D30CC1">
        <w:trPr>
          <w:trHeight w:val="249"/>
        </w:trPr>
        <w:tc>
          <w:tcPr>
            <w:tcW w:w="1243" w:type="dxa"/>
            <w:noWrap/>
            <w:hideMark/>
          </w:tcPr>
          <w:p w14:paraId="58BD4D13" w14:textId="77777777" w:rsidR="0035031A" w:rsidRPr="00AA6E87" w:rsidRDefault="0035031A" w:rsidP="00D30CC1">
            <w:pPr>
              <w:spacing w:after="200"/>
              <w:contextualSpacing/>
            </w:pPr>
            <w:r w:rsidRPr="00AA6E87">
              <w:t>6</w:t>
            </w:r>
          </w:p>
        </w:tc>
        <w:tc>
          <w:tcPr>
            <w:tcW w:w="8197" w:type="dxa"/>
            <w:noWrap/>
            <w:hideMark/>
          </w:tcPr>
          <w:p w14:paraId="7142B1BC" w14:textId="77777777" w:rsidR="0035031A" w:rsidRPr="00AA6E87" w:rsidRDefault="0035031A" w:rsidP="00D30CC1">
            <w:pPr>
              <w:spacing w:after="200"/>
              <w:contextualSpacing/>
            </w:pPr>
            <w:r w:rsidRPr="00AA6E87">
              <w:t xml:space="preserve">Fine-silty, mixed, </w:t>
            </w:r>
            <w:proofErr w:type="spellStart"/>
            <w:r w:rsidRPr="00AA6E87">
              <w:t>superactive</w:t>
            </w:r>
            <w:proofErr w:type="spellEnd"/>
            <w:r w:rsidRPr="00AA6E87">
              <w:t xml:space="preserve">, mesic </w:t>
            </w:r>
            <w:proofErr w:type="spellStart"/>
            <w:r w:rsidRPr="00AA6E87">
              <w:t>Typic</w:t>
            </w:r>
            <w:proofErr w:type="spellEnd"/>
            <w:r w:rsidRPr="00AA6E87">
              <w:t xml:space="preserve"> </w:t>
            </w:r>
            <w:proofErr w:type="spellStart"/>
            <w:r w:rsidRPr="00AA6E87">
              <w:t>Argiudolls</w:t>
            </w:r>
            <w:proofErr w:type="spellEnd"/>
          </w:p>
        </w:tc>
      </w:tr>
      <w:tr w:rsidR="0035031A" w:rsidRPr="00BD0397" w14:paraId="006C181F" w14:textId="77777777" w:rsidTr="00D30CC1">
        <w:trPr>
          <w:trHeight w:val="249"/>
        </w:trPr>
        <w:tc>
          <w:tcPr>
            <w:tcW w:w="1243" w:type="dxa"/>
            <w:noWrap/>
            <w:hideMark/>
          </w:tcPr>
          <w:p w14:paraId="4ABBC275" w14:textId="77777777" w:rsidR="0035031A" w:rsidRPr="00AA6E87" w:rsidRDefault="0035031A" w:rsidP="00D30CC1">
            <w:pPr>
              <w:spacing w:after="200"/>
              <w:contextualSpacing/>
            </w:pPr>
            <w:r w:rsidRPr="00AA6E87">
              <w:t>7</w:t>
            </w:r>
          </w:p>
        </w:tc>
        <w:tc>
          <w:tcPr>
            <w:tcW w:w="8197" w:type="dxa"/>
            <w:noWrap/>
            <w:hideMark/>
          </w:tcPr>
          <w:p w14:paraId="201FD647" w14:textId="77777777" w:rsidR="0035031A" w:rsidRPr="00AA6E87" w:rsidRDefault="0035031A" w:rsidP="00D30CC1">
            <w:pPr>
              <w:spacing w:after="200"/>
              <w:contextualSpacing/>
            </w:pPr>
            <w:r w:rsidRPr="00AA6E87">
              <w:t xml:space="preserve">Fine-silty, mixed, </w:t>
            </w:r>
            <w:proofErr w:type="spellStart"/>
            <w:r w:rsidRPr="00AA6E87">
              <w:t>superactive</w:t>
            </w:r>
            <w:proofErr w:type="spellEnd"/>
            <w:r w:rsidRPr="00AA6E87">
              <w:t xml:space="preserve">, mesic </w:t>
            </w:r>
            <w:proofErr w:type="spellStart"/>
            <w:r w:rsidRPr="00AA6E87">
              <w:t>Oxyaquic</w:t>
            </w:r>
            <w:proofErr w:type="spellEnd"/>
            <w:r w:rsidRPr="00AA6E87">
              <w:t xml:space="preserve"> </w:t>
            </w:r>
            <w:proofErr w:type="spellStart"/>
            <w:r w:rsidRPr="00AA6E87">
              <w:t>Argiudolls</w:t>
            </w:r>
            <w:proofErr w:type="spellEnd"/>
          </w:p>
        </w:tc>
      </w:tr>
      <w:tr w:rsidR="0035031A" w:rsidRPr="00BD0397" w14:paraId="0A1A811F" w14:textId="77777777" w:rsidTr="00D30CC1">
        <w:trPr>
          <w:trHeight w:val="249"/>
        </w:trPr>
        <w:tc>
          <w:tcPr>
            <w:tcW w:w="1243" w:type="dxa"/>
            <w:noWrap/>
            <w:hideMark/>
          </w:tcPr>
          <w:p w14:paraId="4DE604D3" w14:textId="77777777" w:rsidR="0035031A" w:rsidRPr="00AA6E87" w:rsidRDefault="0035031A" w:rsidP="00D30CC1">
            <w:pPr>
              <w:spacing w:after="200"/>
              <w:contextualSpacing/>
            </w:pPr>
            <w:r w:rsidRPr="00AA6E87">
              <w:t>8</w:t>
            </w:r>
          </w:p>
        </w:tc>
        <w:tc>
          <w:tcPr>
            <w:tcW w:w="8197" w:type="dxa"/>
            <w:noWrap/>
            <w:hideMark/>
          </w:tcPr>
          <w:p w14:paraId="0C53E8E6" w14:textId="77777777" w:rsidR="0035031A" w:rsidRPr="00AA6E87" w:rsidRDefault="0035031A" w:rsidP="00D30CC1">
            <w:pPr>
              <w:spacing w:after="200"/>
              <w:contextualSpacing/>
            </w:pPr>
            <w:r w:rsidRPr="00AA6E87">
              <w:t xml:space="preserve">Fine, </w:t>
            </w:r>
            <w:proofErr w:type="spellStart"/>
            <w:r w:rsidRPr="00AA6E87">
              <w:t>illitic</w:t>
            </w:r>
            <w:proofErr w:type="spellEnd"/>
            <w:r w:rsidRPr="00AA6E87">
              <w:t xml:space="preserve">, mesic </w:t>
            </w:r>
            <w:proofErr w:type="spellStart"/>
            <w:r w:rsidRPr="00AA6E87">
              <w:t>Aeric</w:t>
            </w:r>
            <w:proofErr w:type="spellEnd"/>
            <w:r w:rsidRPr="00AA6E87">
              <w:t xml:space="preserve"> </w:t>
            </w:r>
            <w:proofErr w:type="spellStart"/>
            <w:r w:rsidRPr="00AA6E87">
              <w:t>Epiaqualfs</w:t>
            </w:r>
            <w:proofErr w:type="spellEnd"/>
          </w:p>
        </w:tc>
      </w:tr>
      <w:tr w:rsidR="0035031A" w:rsidRPr="00BD0397" w14:paraId="4E32A0E0" w14:textId="77777777" w:rsidTr="00D30CC1">
        <w:trPr>
          <w:trHeight w:val="249"/>
        </w:trPr>
        <w:tc>
          <w:tcPr>
            <w:tcW w:w="1243" w:type="dxa"/>
            <w:noWrap/>
            <w:hideMark/>
          </w:tcPr>
          <w:p w14:paraId="35D83344" w14:textId="77777777" w:rsidR="0035031A" w:rsidRPr="00AA6E87" w:rsidRDefault="0035031A" w:rsidP="00D30CC1">
            <w:pPr>
              <w:spacing w:after="200"/>
              <w:contextualSpacing/>
            </w:pPr>
            <w:r w:rsidRPr="00AA6E87">
              <w:t>9</w:t>
            </w:r>
          </w:p>
        </w:tc>
        <w:tc>
          <w:tcPr>
            <w:tcW w:w="8197" w:type="dxa"/>
            <w:noWrap/>
            <w:hideMark/>
          </w:tcPr>
          <w:p w14:paraId="4233899A" w14:textId="77777777" w:rsidR="0035031A" w:rsidRPr="00AA6E87" w:rsidRDefault="0035031A" w:rsidP="00D30CC1">
            <w:pPr>
              <w:spacing w:after="200"/>
              <w:contextualSpacing/>
            </w:pPr>
            <w:r w:rsidRPr="00AA6E87">
              <w:t xml:space="preserve">Fine, mixed, active, mesic </w:t>
            </w:r>
            <w:proofErr w:type="spellStart"/>
            <w:r w:rsidRPr="00AA6E87">
              <w:t>Typic</w:t>
            </w:r>
            <w:proofErr w:type="spellEnd"/>
            <w:r w:rsidRPr="00AA6E87">
              <w:t xml:space="preserve"> </w:t>
            </w:r>
            <w:proofErr w:type="spellStart"/>
            <w:r w:rsidRPr="00AA6E87">
              <w:t>Hapludalfs</w:t>
            </w:r>
            <w:proofErr w:type="spellEnd"/>
          </w:p>
        </w:tc>
      </w:tr>
      <w:tr w:rsidR="0035031A" w:rsidRPr="00BD0397" w14:paraId="2C43E111" w14:textId="77777777" w:rsidTr="00D30CC1">
        <w:trPr>
          <w:trHeight w:val="249"/>
        </w:trPr>
        <w:tc>
          <w:tcPr>
            <w:tcW w:w="1243" w:type="dxa"/>
            <w:noWrap/>
            <w:hideMark/>
          </w:tcPr>
          <w:p w14:paraId="0752999B" w14:textId="77777777" w:rsidR="0035031A" w:rsidRPr="00AA6E87" w:rsidRDefault="0035031A" w:rsidP="00D30CC1">
            <w:pPr>
              <w:spacing w:after="200"/>
              <w:contextualSpacing/>
            </w:pPr>
            <w:r w:rsidRPr="00AA6E87">
              <w:t>10</w:t>
            </w:r>
          </w:p>
        </w:tc>
        <w:tc>
          <w:tcPr>
            <w:tcW w:w="8197" w:type="dxa"/>
            <w:noWrap/>
            <w:hideMark/>
          </w:tcPr>
          <w:p w14:paraId="06DB75D3" w14:textId="77777777" w:rsidR="0035031A" w:rsidRPr="00AA6E87" w:rsidRDefault="0035031A" w:rsidP="00D30CC1">
            <w:pPr>
              <w:spacing w:after="200"/>
              <w:contextualSpacing/>
            </w:pPr>
            <w:r w:rsidRPr="00AA6E87">
              <w:t>Fine-loamy, mixed, mesic, Typic Hapludolls</w:t>
            </w:r>
          </w:p>
        </w:tc>
      </w:tr>
      <w:tr w:rsidR="0035031A" w:rsidRPr="00BD0397" w14:paraId="261768F6" w14:textId="77777777" w:rsidTr="00D30CC1">
        <w:trPr>
          <w:trHeight w:val="249"/>
        </w:trPr>
        <w:tc>
          <w:tcPr>
            <w:tcW w:w="1243" w:type="dxa"/>
            <w:noWrap/>
            <w:hideMark/>
          </w:tcPr>
          <w:p w14:paraId="431E129B" w14:textId="77777777" w:rsidR="0035031A" w:rsidRPr="00AA6E87" w:rsidRDefault="0035031A" w:rsidP="00D30CC1">
            <w:pPr>
              <w:spacing w:after="200"/>
              <w:contextualSpacing/>
            </w:pPr>
            <w:r w:rsidRPr="00AA6E87">
              <w:t>11</w:t>
            </w:r>
          </w:p>
        </w:tc>
        <w:tc>
          <w:tcPr>
            <w:tcW w:w="8197" w:type="dxa"/>
            <w:noWrap/>
            <w:hideMark/>
          </w:tcPr>
          <w:p w14:paraId="73BC9E72" w14:textId="77777777" w:rsidR="0035031A" w:rsidRPr="00AA6E87" w:rsidRDefault="0035031A" w:rsidP="00D30CC1">
            <w:pPr>
              <w:spacing w:after="200"/>
              <w:contextualSpacing/>
            </w:pPr>
            <w:r w:rsidRPr="00AA6E87">
              <w:t xml:space="preserve">Fine-silty, mixed, </w:t>
            </w:r>
            <w:proofErr w:type="spellStart"/>
            <w:r w:rsidRPr="00AA6E87">
              <w:t>superactive</w:t>
            </w:r>
            <w:proofErr w:type="spellEnd"/>
            <w:r w:rsidRPr="00AA6E87">
              <w:t xml:space="preserve">, mesic </w:t>
            </w:r>
            <w:proofErr w:type="spellStart"/>
            <w:r w:rsidRPr="00AA6E87">
              <w:t>Cumulic</w:t>
            </w:r>
            <w:proofErr w:type="spellEnd"/>
            <w:r w:rsidRPr="00AA6E87">
              <w:t xml:space="preserve"> Hapludolls</w:t>
            </w:r>
          </w:p>
        </w:tc>
      </w:tr>
      <w:tr w:rsidR="0035031A" w:rsidRPr="00BD0397" w14:paraId="5FC2E720" w14:textId="77777777" w:rsidTr="00D30CC1">
        <w:trPr>
          <w:trHeight w:val="249"/>
        </w:trPr>
        <w:tc>
          <w:tcPr>
            <w:tcW w:w="1243" w:type="dxa"/>
            <w:noWrap/>
            <w:hideMark/>
          </w:tcPr>
          <w:p w14:paraId="6B226E6C" w14:textId="77777777" w:rsidR="0035031A" w:rsidRPr="00AA6E87" w:rsidRDefault="0035031A" w:rsidP="00D30CC1">
            <w:pPr>
              <w:spacing w:after="200"/>
              <w:contextualSpacing/>
            </w:pPr>
            <w:r w:rsidRPr="00AA6E87">
              <w:t>12</w:t>
            </w:r>
          </w:p>
        </w:tc>
        <w:tc>
          <w:tcPr>
            <w:tcW w:w="8197" w:type="dxa"/>
            <w:noWrap/>
            <w:hideMark/>
          </w:tcPr>
          <w:p w14:paraId="22F302E6" w14:textId="77777777" w:rsidR="0035031A" w:rsidRPr="00AA6E87" w:rsidRDefault="0035031A" w:rsidP="00D30CC1">
            <w:pPr>
              <w:spacing w:after="200"/>
              <w:contextualSpacing/>
            </w:pPr>
            <w:r w:rsidRPr="00AA6E87">
              <w:t xml:space="preserve">Fine-loamy, mixed, </w:t>
            </w:r>
            <w:proofErr w:type="spellStart"/>
            <w:r w:rsidRPr="00AA6E87">
              <w:t>superactive</w:t>
            </w:r>
            <w:proofErr w:type="spellEnd"/>
            <w:r w:rsidRPr="00AA6E87">
              <w:t xml:space="preserve">, mesic </w:t>
            </w:r>
            <w:proofErr w:type="spellStart"/>
            <w:r w:rsidRPr="00AA6E87">
              <w:t>Typic</w:t>
            </w:r>
            <w:proofErr w:type="spellEnd"/>
            <w:r w:rsidRPr="00AA6E87">
              <w:t xml:space="preserve"> </w:t>
            </w:r>
            <w:proofErr w:type="spellStart"/>
            <w:r w:rsidRPr="00AA6E87">
              <w:t>Endoaquolls</w:t>
            </w:r>
            <w:proofErr w:type="spellEnd"/>
          </w:p>
        </w:tc>
      </w:tr>
      <w:tr w:rsidR="0035031A" w:rsidRPr="00BD0397" w14:paraId="79DABA6E" w14:textId="77777777" w:rsidTr="00D30CC1">
        <w:trPr>
          <w:trHeight w:val="249"/>
        </w:trPr>
        <w:tc>
          <w:tcPr>
            <w:tcW w:w="1243" w:type="dxa"/>
            <w:noWrap/>
            <w:hideMark/>
          </w:tcPr>
          <w:p w14:paraId="5329B1F5" w14:textId="77777777" w:rsidR="0035031A" w:rsidRPr="00AA6E87" w:rsidRDefault="0035031A" w:rsidP="00D30CC1">
            <w:pPr>
              <w:spacing w:after="200"/>
              <w:contextualSpacing/>
            </w:pPr>
            <w:r w:rsidRPr="00AA6E87">
              <w:t>13</w:t>
            </w:r>
          </w:p>
        </w:tc>
        <w:tc>
          <w:tcPr>
            <w:tcW w:w="8197" w:type="dxa"/>
            <w:noWrap/>
            <w:hideMark/>
          </w:tcPr>
          <w:p w14:paraId="019CDD19" w14:textId="77777777" w:rsidR="0035031A" w:rsidRPr="00AA6E87" w:rsidRDefault="0035031A" w:rsidP="00D30CC1">
            <w:pPr>
              <w:spacing w:after="200"/>
              <w:contextualSpacing/>
            </w:pPr>
            <w:r w:rsidRPr="00AA6E87">
              <w:t xml:space="preserve">Fine-silty, mixed, </w:t>
            </w:r>
            <w:proofErr w:type="spellStart"/>
            <w:r w:rsidRPr="00AA6E87">
              <w:t>superactive</w:t>
            </w:r>
            <w:proofErr w:type="spellEnd"/>
            <w:r w:rsidRPr="00AA6E87">
              <w:t xml:space="preserve">, mesic Aquic </w:t>
            </w:r>
            <w:proofErr w:type="spellStart"/>
            <w:r w:rsidRPr="00AA6E87">
              <w:t>Argiudolls</w:t>
            </w:r>
            <w:proofErr w:type="spellEnd"/>
          </w:p>
        </w:tc>
      </w:tr>
      <w:tr w:rsidR="0035031A" w:rsidRPr="00BD0397" w14:paraId="351C764F" w14:textId="77777777" w:rsidTr="00D30CC1">
        <w:trPr>
          <w:trHeight w:val="249"/>
        </w:trPr>
        <w:tc>
          <w:tcPr>
            <w:tcW w:w="1243" w:type="dxa"/>
            <w:noWrap/>
            <w:hideMark/>
          </w:tcPr>
          <w:p w14:paraId="572F1090" w14:textId="77777777" w:rsidR="0035031A" w:rsidRPr="00AA6E87" w:rsidRDefault="0035031A" w:rsidP="00D30CC1">
            <w:pPr>
              <w:spacing w:after="200"/>
              <w:contextualSpacing/>
            </w:pPr>
            <w:r w:rsidRPr="00AA6E87">
              <w:t>14</w:t>
            </w:r>
          </w:p>
        </w:tc>
        <w:tc>
          <w:tcPr>
            <w:tcW w:w="8197" w:type="dxa"/>
            <w:noWrap/>
            <w:hideMark/>
          </w:tcPr>
          <w:p w14:paraId="439B3A68" w14:textId="77777777" w:rsidR="0035031A" w:rsidRPr="00AA6E87" w:rsidRDefault="0035031A" w:rsidP="00D30CC1">
            <w:pPr>
              <w:spacing w:after="200"/>
              <w:contextualSpacing/>
            </w:pPr>
            <w:r w:rsidRPr="00AA6E87">
              <w:t xml:space="preserve">Fine-silty, mixed, </w:t>
            </w:r>
            <w:proofErr w:type="spellStart"/>
            <w:r w:rsidRPr="00AA6E87">
              <w:t>superactive</w:t>
            </w:r>
            <w:proofErr w:type="spellEnd"/>
            <w:r w:rsidRPr="00AA6E87">
              <w:t xml:space="preserve">, mesic </w:t>
            </w:r>
            <w:proofErr w:type="spellStart"/>
            <w:r w:rsidRPr="00AA6E87">
              <w:t>Aeric</w:t>
            </w:r>
            <w:proofErr w:type="spellEnd"/>
            <w:r w:rsidRPr="00AA6E87">
              <w:t xml:space="preserve"> </w:t>
            </w:r>
            <w:proofErr w:type="spellStart"/>
            <w:r w:rsidRPr="00AA6E87">
              <w:t>Epiaqualfs</w:t>
            </w:r>
            <w:proofErr w:type="spellEnd"/>
          </w:p>
        </w:tc>
      </w:tr>
      <w:tr w:rsidR="0035031A" w:rsidRPr="00BD0397" w14:paraId="7D09AD16" w14:textId="77777777" w:rsidTr="00D30CC1">
        <w:trPr>
          <w:trHeight w:val="249"/>
        </w:trPr>
        <w:tc>
          <w:tcPr>
            <w:tcW w:w="1243" w:type="dxa"/>
            <w:noWrap/>
            <w:hideMark/>
          </w:tcPr>
          <w:p w14:paraId="1FF375F7" w14:textId="77777777" w:rsidR="0035031A" w:rsidRPr="00AA6E87" w:rsidRDefault="0035031A" w:rsidP="00D30CC1">
            <w:pPr>
              <w:spacing w:after="200"/>
              <w:contextualSpacing/>
            </w:pPr>
            <w:r w:rsidRPr="00AA6E87">
              <w:t>15</w:t>
            </w:r>
          </w:p>
        </w:tc>
        <w:tc>
          <w:tcPr>
            <w:tcW w:w="8197" w:type="dxa"/>
            <w:noWrap/>
            <w:hideMark/>
          </w:tcPr>
          <w:p w14:paraId="5A014039" w14:textId="77777777" w:rsidR="0035031A" w:rsidRPr="00AA6E87" w:rsidRDefault="0035031A" w:rsidP="00D30CC1">
            <w:pPr>
              <w:spacing w:after="200"/>
              <w:contextualSpacing/>
            </w:pPr>
            <w:r w:rsidRPr="00AA6E87">
              <w:t xml:space="preserve">Fine-silty, mixed, </w:t>
            </w:r>
            <w:proofErr w:type="spellStart"/>
            <w:r w:rsidRPr="00AA6E87">
              <w:t>superactive</w:t>
            </w:r>
            <w:proofErr w:type="spellEnd"/>
            <w:r w:rsidRPr="00AA6E87">
              <w:t xml:space="preserve">, mesic </w:t>
            </w:r>
            <w:proofErr w:type="spellStart"/>
            <w:r w:rsidRPr="00AA6E87">
              <w:t>Typic</w:t>
            </w:r>
            <w:proofErr w:type="spellEnd"/>
            <w:r w:rsidRPr="00AA6E87">
              <w:t xml:space="preserve"> </w:t>
            </w:r>
            <w:proofErr w:type="spellStart"/>
            <w:r w:rsidRPr="00AA6E87">
              <w:t>Argiaquolls</w:t>
            </w:r>
            <w:proofErr w:type="spellEnd"/>
          </w:p>
        </w:tc>
      </w:tr>
      <w:tr w:rsidR="0035031A" w:rsidRPr="00BD0397" w14:paraId="774A8986" w14:textId="77777777" w:rsidTr="00D30CC1">
        <w:trPr>
          <w:trHeight w:val="249"/>
        </w:trPr>
        <w:tc>
          <w:tcPr>
            <w:tcW w:w="1243" w:type="dxa"/>
            <w:noWrap/>
            <w:hideMark/>
          </w:tcPr>
          <w:p w14:paraId="774211C9" w14:textId="77777777" w:rsidR="0035031A" w:rsidRPr="00AA6E87" w:rsidRDefault="0035031A" w:rsidP="00D30CC1">
            <w:pPr>
              <w:spacing w:after="200"/>
              <w:contextualSpacing/>
            </w:pPr>
            <w:r w:rsidRPr="00AA6E87">
              <w:t>16</w:t>
            </w:r>
          </w:p>
        </w:tc>
        <w:tc>
          <w:tcPr>
            <w:tcW w:w="8197" w:type="dxa"/>
            <w:noWrap/>
            <w:hideMark/>
          </w:tcPr>
          <w:p w14:paraId="3CB14255" w14:textId="77777777" w:rsidR="0035031A" w:rsidRPr="00AA6E87" w:rsidRDefault="0035031A" w:rsidP="00D30CC1">
            <w:pPr>
              <w:spacing w:after="200"/>
              <w:contextualSpacing/>
            </w:pPr>
            <w:r w:rsidRPr="00AA6E87">
              <w:t xml:space="preserve">Fine-loamy, mixed, </w:t>
            </w:r>
            <w:proofErr w:type="spellStart"/>
            <w:r w:rsidRPr="00AA6E87">
              <w:t>superactive</w:t>
            </w:r>
            <w:proofErr w:type="spellEnd"/>
            <w:r w:rsidRPr="00AA6E87">
              <w:t xml:space="preserve">, mesic </w:t>
            </w:r>
            <w:proofErr w:type="spellStart"/>
            <w:r w:rsidRPr="00AA6E87">
              <w:t>Typic</w:t>
            </w:r>
            <w:proofErr w:type="spellEnd"/>
            <w:r w:rsidRPr="00AA6E87">
              <w:t xml:space="preserve"> </w:t>
            </w:r>
            <w:proofErr w:type="spellStart"/>
            <w:r w:rsidRPr="00AA6E87">
              <w:t>Argiaquolls</w:t>
            </w:r>
            <w:proofErr w:type="spellEnd"/>
          </w:p>
        </w:tc>
      </w:tr>
      <w:tr w:rsidR="0035031A" w:rsidRPr="00BD0397" w14:paraId="16C17B79" w14:textId="77777777" w:rsidTr="00D30CC1">
        <w:trPr>
          <w:trHeight w:val="249"/>
        </w:trPr>
        <w:tc>
          <w:tcPr>
            <w:tcW w:w="1243" w:type="dxa"/>
            <w:noWrap/>
            <w:hideMark/>
          </w:tcPr>
          <w:p w14:paraId="018AC0EF" w14:textId="77777777" w:rsidR="0035031A" w:rsidRPr="00AA6E87" w:rsidRDefault="0035031A" w:rsidP="00D30CC1">
            <w:pPr>
              <w:spacing w:after="200"/>
              <w:contextualSpacing/>
            </w:pPr>
            <w:r w:rsidRPr="00AA6E87">
              <w:t>17</w:t>
            </w:r>
          </w:p>
        </w:tc>
        <w:tc>
          <w:tcPr>
            <w:tcW w:w="8197" w:type="dxa"/>
            <w:noWrap/>
            <w:hideMark/>
          </w:tcPr>
          <w:p w14:paraId="43184FFD" w14:textId="77777777" w:rsidR="0035031A" w:rsidRPr="00AA6E87" w:rsidRDefault="0035031A" w:rsidP="00D30CC1">
            <w:pPr>
              <w:spacing w:after="200"/>
              <w:contextualSpacing/>
            </w:pPr>
            <w:r w:rsidRPr="00AA6E87">
              <w:t xml:space="preserve">Fine-loamy, mixed, </w:t>
            </w:r>
            <w:proofErr w:type="spellStart"/>
            <w:r w:rsidRPr="00AA6E87">
              <w:t>superactive</w:t>
            </w:r>
            <w:proofErr w:type="spellEnd"/>
            <w:r w:rsidRPr="00AA6E87">
              <w:t xml:space="preserve">, mesic </w:t>
            </w:r>
            <w:proofErr w:type="spellStart"/>
            <w:r w:rsidRPr="00AA6E87">
              <w:t>Typic</w:t>
            </w:r>
            <w:proofErr w:type="spellEnd"/>
            <w:r w:rsidRPr="00AA6E87">
              <w:t xml:space="preserve"> </w:t>
            </w:r>
            <w:proofErr w:type="spellStart"/>
            <w:r w:rsidRPr="00AA6E87">
              <w:t>Endoaquolls</w:t>
            </w:r>
            <w:proofErr w:type="spellEnd"/>
          </w:p>
        </w:tc>
      </w:tr>
      <w:tr w:rsidR="0035031A" w:rsidRPr="00BD0397" w14:paraId="04D79366" w14:textId="77777777" w:rsidTr="00D30CC1">
        <w:trPr>
          <w:trHeight w:val="249"/>
        </w:trPr>
        <w:tc>
          <w:tcPr>
            <w:tcW w:w="1243" w:type="dxa"/>
            <w:noWrap/>
            <w:hideMark/>
          </w:tcPr>
          <w:p w14:paraId="17AA98BE" w14:textId="77777777" w:rsidR="0035031A" w:rsidRPr="00AA6E87" w:rsidRDefault="0035031A" w:rsidP="00D30CC1">
            <w:pPr>
              <w:spacing w:after="200"/>
              <w:contextualSpacing/>
            </w:pPr>
            <w:r w:rsidRPr="00AA6E87">
              <w:t>18</w:t>
            </w:r>
          </w:p>
        </w:tc>
        <w:tc>
          <w:tcPr>
            <w:tcW w:w="8197" w:type="dxa"/>
            <w:noWrap/>
            <w:hideMark/>
          </w:tcPr>
          <w:p w14:paraId="06B264F4" w14:textId="77777777" w:rsidR="0035031A" w:rsidRPr="00AA6E87" w:rsidRDefault="0035031A" w:rsidP="00D30CC1">
            <w:pPr>
              <w:spacing w:after="200"/>
              <w:contextualSpacing/>
            </w:pPr>
            <w:r w:rsidRPr="00AA6E87">
              <w:t xml:space="preserve">Fine-silty, mixed, </w:t>
            </w:r>
            <w:proofErr w:type="spellStart"/>
            <w:r w:rsidRPr="00AA6E87">
              <w:t>superactive</w:t>
            </w:r>
            <w:proofErr w:type="spellEnd"/>
            <w:r w:rsidRPr="00AA6E87">
              <w:t xml:space="preserve">, mesic Aquic </w:t>
            </w:r>
            <w:proofErr w:type="spellStart"/>
            <w:r w:rsidRPr="00AA6E87">
              <w:t>Hapludalfs</w:t>
            </w:r>
            <w:proofErr w:type="spellEnd"/>
          </w:p>
        </w:tc>
      </w:tr>
      <w:tr w:rsidR="0035031A" w:rsidRPr="00BD0397" w14:paraId="562CE769" w14:textId="77777777" w:rsidTr="00D30CC1">
        <w:trPr>
          <w:trHeight w:val="249"/>
        </w:trPr>
        <w:tc>
          <w:tcPr>
            <w:tcW w:w="1243" w:type="dxa"/>
            <w:noWrap/>
            <w:hideMark/>
          </w:tcPr>
          <w:p w14:paraId="5D3E70B7" w14:textId="77777777" w:rsidR="0035031A" w:rsidRPr="00AA6E87" w:rsidRDefault="0035031A" w:rsidP="00D30CC1">
            <w:pPr>
              <w:spacing w:after="200"/>
              <w:contextualSpacing/>
            </w:pPr>
            <w:r w:rsidRPr="00AA6E87">
              <w:t>19</w:t>
            </w:r>
          </w:p>
        </w:tc>
        <w:tc>
          <w:tcPr>
            <w:tcW w:w="8197" w:type="dxa"/>
            <w:noWrap/>
            <w:hideMark/>
          </w:tcPr>
          <w:p w14:paraId="3F771351" w14:textId="77777777" w:rsidR="0035031A" w:rsidRPr="00AA6E87" w:rsidRDefault="0035031A" w:rsidP="00D30CC1">
            <w:pPr>
              <w:spacing w:after="200"/>
              <w:contextualSpacing/>
            </w:pPr>
            <w:r w:rsidRPr="00AA6E87">
              <w:t xml:space="preserve">Coarse-silty, mixed, active, acid, mesic </w:t>
            </w:r>
            <w:proofErr w:type="spellStart"/>
            <w:r w:rsidRPr="00AA6E87">
              <w:t>Fluventic</w:t>
            </w:r>
            <w:proofErr w:type="spellEnd"/>
            <w:r w:rsidRPr="00AA6E87">
              <w:t xml:space="preserve"> </w:t>
            </w:r>
            <w:proofErr w:type="spellStart"/>
            <w:r w:rsidRPr="00AA6E87">
              <w:t>Endoaquepts</w:t>
            </w:r>
            <w:proofErr w:type="spellEnd"/>
          </w:p>
        </w:tc>
      </w:tr>
      <w:tr w:rsidR="0035031A" w:rsidRPr="00BD0397" w14:paraId="75F3F971" w14:textId="77777777" w:rsidTr="00D30CC1">
        <w:trPr>
          <w:trHeight w:val="249"/>
        </w:trPr>
        <w:tc>
          <w:tcPr>
            <w:tcW w:w="1243" w:type="dxa"/>
            <w:noWrap/>
            <w:hideMark/>
          </w:tcPr>
          <w:p w14:paraId="13B690F2" w14:textId="77777777" w:rsidR="0035031A" w:rsidRPr="00AA6E87" w:rsidRDefault="0035031A" w:rsidP="00D30CC1">
            <w:pPr>
              <w:spacing w:after="200"/>
              <w:contextualSpacing/>
            </w:pPr>
            <w:r w:rsidRPr="00AA6E87">
              <w:t>20</w:t>
            </w:r>
          </w:p>
        </w:tc>
        <w:tc>
          <w:tcPr>
            <w:tcW w:w="8197" w:type="dxa"/>
            <w:noWrap/>
            <w:hideMark/>
          </w:tcPr>
          <w:p w14:paraId="5DE359AC" w14:textId="77777777" w:rsidR="0035031A" w:rsidRPr="00AA6E87" w:rsidRDefault="0035031A" w:rsidP="00D30CC1">
            <w:pPr>
              <w:spacing w:after="200"/>
              <w:contextualSpacing/>
            </w:pPr>
            <w:r w:rsidRPr="00AA6E87">
              <w:t xml:space="preserve">Fine-loamy, mixed, </w:t>
            </w:r>
            <w:proofErr w:type="spellStart"/>
            <w:r w:rsidRPr="00AA6E87">
              <w:t>superactive</w:t>
            </w:r>
            <w:proofErr w:type="spellEnd"/>
            <w:r w:rsidRPr="00AA6E87">
              <w:t xml:space="preserve">, mesic </w:t>
            </w:r>
            <w:proofErr w:type="spellStart"/>
            <w:r w:rsidRPr="00AA6E87">
              <w:t>Typic</w:t>
            </w:r>
            <w:proofErr w:type="spellEnd"/>
            <w:r w:rsidRPr="00AA6E87">
              <w:t xml:space="preserve"> </w:t>
            </w:r>
            <w:proofErr w:type="spellStart"/>
            <w:r w:rsidRPr="00AA6E87">
              <w:t>Endoaquolls</w:t>
            </w:r>
            <w:proofErr w:type="spellEnd"/>
          </w:p>
        </w:tc>
      </w:tr>
      <w:tr w:rsidR="0035031A" w:rsidRPr="00BD0397" w14:paraId="086AF93F" w14:textId="77777777" w:rsidTr="00D30CC1">
        <w:trPr>
          <w:trHeight w:val="249"/>
        </w:trPr>
        <w:tc>
          <w:tcPr>
            <w:tcW w:w="1243" w:type="dxa"/>
            <w:noWrap/>
            <w:hideMark/>
          </w:tcPr>
          <w:p w14:paraId="2BB55BB6" w14:textId="77777777" w:rsidR="0035031A" w:rsidRPr="00AA6E87" w:rsidRDefault="0035031A" w:rsidP="00D30CC1">
            <w:pPr>
              <w:spacing w:after="200"/>
              <w:contextualSpacing/>
            </w:pPr>
            <w:r w:rsidRPr="00AA6E87">
              <w:t>21</w:t>
            </w:r>
          </w:p>
        </w:tc>
        <w:tc>
          <w:tcPr>
            <w:tcW w:w="8197" w:type="dxa"/>
            <w:noWrap/>
            <w:hideMark/>
          </w:tcPr>
          <w:p w14:paraId="678C321A" w14:textId="77777777" w:rsidR="0035031A" w:rsidRPr="00AA6E87" w:rsidRDefault="0035031A" w:rsidP="00D30CC1">
            <w:pPr>
              <w:spacing w:after="200"/>
              <w:contextualSpacing/>
            </w:pPr>
            <w:r w:rsidRPr="00AA6E87">
              <w:t xml:space="preserve">Fine-silty, mixed, mesic </w:t>
            </w:r>
            <w:proofErr w:type="spellStart"/>
            <w:r w:rsidRPr="00AA6E87">
              <w:t>Cumilic</w:t>
            </w:r>
            <w:proofErr w:type="spellEnd"/>
            <w:r w:rsidRPr="00AA6E87">
              <w:t xml:space="preserve"> Hapludolls</w:t>
            </w:r>
          </w:p>
        </w:tc>
      </w:tr>
      <w:tr w:rsidR="0035031A" w:rsidRPr="00BD0397" w14:paraId="782E8D36" w14:textId="77777777" w:rsidTr="00D30CC1">
        <w:trPr>
          <w:trHeight w:val="249"/>
        </w:trPr>
        <w:tc>
          <w:tcPr>
            <w:tcW w:w="1243" w:type="dxa"/>
            <w:noWrap/>
            <w:hideMark/>
          </w:tcPr>
          <w:p w14:paraId="0AE8ABA6" w14:textId="77777777" w:rsidR="0035031A" w:rsidRPr="00AA6E87" w:rsidRDefault="0035031A" w:rsidP="00D30CC1">
            <w:pPr>
              <w:spacing w:after="200"/>
              <w:contextualSpacing/>
            </w:pPr>
            <w:r w:rsidRPr="00AA6E87">
              <w:t>22</w:t>
            </w:r>
          </w:p>
        </w:tc>
        <w:tc>
          <w:tcPr>
            <w:tcW w:w="8197" w:type="dxa"/>
            <w:noWrap/>
            <w:hideMark/>
          </w:tcPr>
          <w:p w14:paraId="1B0DB6E7" w14:textId="77777777" w:rsidR="0035031A" w:rsidRPr="00AA6E87" w:rsidRDefault="0035031A" w:rsidP="00D30CC1">
            <w:pPr>
              <w:spacing w:after="200"/>
              <w:contextualSpacing/>
            </w:pPr>
            <w:r w:rsidRPr="00AA6E87">
              <w:t xml:space="preserve">Fine-loamy, mixed, </w:t>
            </w:r>
            <w:proofErr w:type="spellStart"/>
            <w:r w:rsidRPr="00AA6E87">
              <w:t>superactive</w:t>
            </w:r>
            <w:proofErr w:type="spellEnd"/>
            <w:r w:rsidRPr="00AA6E87">
              <w:t xml:space="preserve">, mesic </w:t>
            </w:r>
            <w:proofErr w:type="spellStart"/>
            <w:r w:rsidRPr="00AA6E87">
              <w:t>Typic</w:t>
            </w:r>
            <w:proofErr w:type="spellEnd"/>
            <w:r w:rsidRPr="00AA6E87">
              <w:t xml:space="preserve"> </w:t>
            </w:r>
            <w:proofErr w:type="spellStart"/>
            <w:r w:rsidRPr="00AA6E87">
              <w:t>Endoaquolls</w:t>
            </w:r>
            <w:proofErr w:type="spellEnd"/>
          </w:p>
        </w:tc>
      </w:tr>
      <w:tr w:rsidR="0035031A" w:rsidRPr="00BD0397" w14:paraId="23000147" w14:textId="77777777" w:rsidTr="00D30CC1">
        <w:trPr>
          <w:trHeight w:val="249"/>
        </w:trPr>
        <w:tc>
          <w:tcPr>
            <w:tcW w:w="1243" w:type="dxa"/>
            <w:noWrap/>
            <w:hideMark/>
          </w:tcPr>
          <w:p w14:paraId="2CEC53E5" w14:textId="77777777" w:rsidR="0035031A" w:rsidRPr="00AA6E87" w:rsidRDefault="0035031A" w:rsidP="00D30CC1">
            <w:pPr>
              <w:spacing w:after="200"/>
              <w:contextualSpacing/>
            </w:pPr>
            <w:r w:rsidRPr="00AA6E87">
              <w:t>23</w:t>
            </w:r>
          </w:p>
        </w:tc>
        <w:tc>
          <w:tcPr>
            <w:tcW w:w="8197" w:type="dxa"/>
            <w:noWrap/>
            <w:hideMark/>
          </w:tcPr>
          <w:p w14:paraId="015B34AA" w14:textId="77777777" w:rsidR="0035031A" w:rsidRPr="00AA6E87" w:rsidRDefault="0035031A" w:rsidP="00D30CC1">
            <w:pPr>
              <w:spacing w:after="200"/>
              <w:contextualSpacing/>
            </w:pPr>
            <w:r w:rsidRPr="00AA6E87">
              <w:t xml:space="preserve">Fine-loamy, mixed, </w:t>
            </w:r>
            <w:proofErr w:type="spellStart"/>
            <w:r w:rsidRPr="00AA6E87">
              <w:t>superactive</w:t>
            </w:r>
            <w:proofErr w:type="spellEnd"/>
            <w:r w:rsidRPr="00AA6E87">
              <w:t>, mesic Aquic Hapludolls</w:t>
            </w:r>
          </w:p>
        </w:tc>
      </w:tr>
      <w:tr w:rsidR="0035031A" w:rsidRPr="00BD0397" w14:paraId="5A52F2B1" w14:textId="77777777" w:rsidTr="00D30CC1">
        <w:trPr>
          <w:trHeight w:val="249"/>
        </w:trPr>
        <w:tc>
          <w:tcPr>
            <w:tcW w:w="1243" w:type="dxa"/>
            <w:noWrap/>
            <w:hideMark/>
          </w:tcPr>
          <w:p w14:paraId="523DB804" w14:textId="77777777" w:rsidR="0035031A" w:rsidRPr="00AA6E87" w:rsidRDefault="0035031A" w:rsidP="00D30CC1">
            <w:pPr>
              <w:spacing w:after="200"/>
              <w:contextualSpacing/>
            </w:pPr>
            <w:r w:rsidRPr="00AA6E87">
              <w:t>24</w:t>
            </w:r>
          </w:p>
        </w:tc>
        <w:tc>
          <w:tcPr>
            <w:tcW w:w="8197" w:type="dxa"/>
            <w:noWrap/>
            <w:hideMark/>
          </w:tcPr>
          <w:p w14:paraId="24C951C7" w14:textId="77777777" w:rsidR="0035031A" w:rsidRPr="00AA6E87" w:rsidRDefault="0035031A" w:rsidP="00D30CC1">
            <w:pPr>
              <w:spacing w:after="200"/>
              <w:contextualSpacing/>
            </w:pPr>
            <w:r w:rsidRPr="00AA6E87">
              <w:t xml:space="preserve">Fine, </w:t>
            </w:r>
            <w:proofErr w:type="spellStart"/>
            <w:r w:rsidRPr="00AA6E87">
              <w:t>smectitic</w:t>
            </w:r>
            <w:proofErr w:type="spellEnd"/>
            <w:r w:rsidRPr="00AA6E87">
              <w:t xml:space="preserve">, mesic Aquic </w:t>
            </w:r>
            <w:proofErr w:type="spellStart"/>
            <w:r w:rsidRPr="00AA6E87">
              <w:t>Argiudolls</w:t>
            </w:r>
            <w:proofErr w:type="spellEnd"/>
          </w:p>
        </w:tc>
      </w:tr>
      <w:tr w:rsidR="0035031A" w:rsidRPr="00BD0397" w14:paraId="3888913F" w14:textId="77777777" w:rsidTr="00D30CC1">
        <w:trPr>
          <w:trHeight w:val="249"/>
        </w:trPr>
        <w:tc>
          <w:tcPr>
            <w:tcW w:w="1243" w:type="dxa"/>
            <w:noWrap/>
            <w:hideMark/>
          </w:tcPr>
          <w:p w14:paraId="3B35615E" w14:textId="77777777" w:rsidR="0035031A" w:rsidRPr="00AA6E87" w:rsidRDefault="0035031A" w:rsidP="00D30CC1">
            <w:pPr>
              <w:spacing w:after="200"/>
              <w:contextualSpacing/>
            </w:pPr>
            <w:r w:rsidRPr="00AA6E87">
              <w:t>25</w:t>
            </w:r>
          </w:p>
        </w:tc>
        <w:tc>
          <w:tcPr>
            <w:tcW w:w="8197" w:type="dxa"/>
            <w:noWrap/>
            <w:hideMark/>
          </w:tcPr>
          <w:p w14:paraId="09E530AA" w14:textId="77777777" w:rsidR="0035031A" w:rsidRPr="00AA6E87" w:rsidRDefault="0035031A" w:rsidP="00D30CC1">
            <w:pPr>
              <w:spacing w:after="200"/>
              <w:contextualSpacing/>
            </w:pPr>
            <w:r w:rsidRPr="00AA6E87">
              <w:t xml:space="preserve">Fine-silty, mixed, </w:t>
            </w:r>
            <w:proofErr w:type="spellStart"/>
            <w:r w:rsidRPr="00AA6E87">
              <w:t>superactive</w:t>
            </w:r>
            <w:proofErr w:type="spellEnd"/>
            <w:r w:rsidRPr="00AA6E87">
              <w:t xml:space="preserve">, mesic </w:t>
            </w:r>
            <w:proofErr w:type="spellStart"/>
            <w:r w:rsidRPr="00AA6E87">
              <w:t>Typic</w:t>
            </w:r>
            <w:proofErr w:type="spellEnd"/>
            <w:r w:rsidRPr="00AA6E87">
              <w:t xml:space="preserve"> </w:t>
            </w:r>
            <w:proofErr w:type="spellStart"/>
            <w:r w:rsidRPr="00AA6E87">
              <w:t>Endoaquolls</w:t>
            </w:r>
            <w:proofErr w:type="spellEnd"/>
          </w:p>
        </w:tc>
      </w:tr>
      <w:tr w:rsidR="0035031A" w:rsidRPr="00BD0397" w14:paraId="04710D55" w14:textId="77777777" w:rsidTr="00D30CC1">
        <w:trPr>
          <w:trHeight w:val="249"/>
        </w:trPr>
        <w:tc>
          <w:tcPr>
            <w:tcW w:w="1243" w:type="dxa"/>
            <w:noWrap/>
            <w:hideMark/>
          </w:tcPr>
          <w:p w14:paraId="6A38ED29" w14:textId="77777777" w:rsidR="0035031A" w:rsidRPr="00AA6E87" w:rsidRDefault="0035031A" w:rsidP="00D30CC1">
            <w:pPr>
              <w:spacing w:after="200"/>
              <w:contextualSpacing/>
            </w:pPr>
            <w:r w:rsidRPr="00AA6E87">
              <w:t>26</w:t>
            </w:r>
          </w:p>
        </w:tc>
        <w:tc>
          <w:tcPr>
            <w:tcW w:w="8197" w:type="dxa"/>
            <w:noWrap/>
            <w:hideMark/>
          </w:tcPr>
          <w:p w14:paraId="24EF1E7B" w14:textId="77777777" w:rsidR="0035031A" w:rsidRPr="00AA6E87" w:rsidRDefault="0035031A" w:rsidP="00D30CC1">
            <w:pPr>
              <w:spacing w:after="200"/>
              <w:contextualSpacing/>
            </w:pPr>
            <w:r w:rsidRPr="00AA6E87">
              <w:t xml:space="preserve">Fine, </w:t>
            </w:r>
            <w:proofErr w:type="spellStart"/>
            <w:r w:rsidRPr="00AA6E87">
              <w:t>smectitic</w:t>
            </w:r>
            <w:proofErr w:type="spellEnd"/>
            <w:r w:rsidRPr="00AA6E87">
              <w:t xml:space="preserve">, mesic </w:t>
            </w:r>
            <w:proofErr w:type="spellStart"/>
            <w:r w:rsidRPr="00AA6E87">
              <w:t>Aeric</w:t>
            </w:r>
            <w:proofErr w:type="spellEnd"/>
            <w:r w:rsidRPr="00AA6E87">
              <w:t xml:space="preserve"> </w:t>
            </w:r>
            <w:proofErr w:type="spellStart"/>
            <w:r w:rsidRPr="00AA6E87">
              <w:t>Fragic</w:t>
            </w:r>
            <w:proofErr w:type="spellEnd"/>
            <w:r w:rsidRPr="00AA6E87">
              <w:t xml:space="preserve"> </w:t>
            </w:r>
            <w:proofErr w:type="spellStart"/>
            <w:r w:rsidRPr="00AA6E87">
              <w:t>Epiaqualfs</w:t>
            </w:r>
            <w:proofErr w:type="spellEnd"/>
          </w:p>
        </w:tc>
      </w:tr>
      <w:tr w:rsidR="0035031A" w:rsidRPr="00BD0397" w14:paraId="441F0A65" w14:textId="77777777" w:rsidTr="00D30CC1">
        <w:trPr>
          <w:trHeight w:val="249"/>
        </w:trPr>
        <w:tc>
          <w:tcPr>
            <w:tcW w:w="1243" w:type="dxa"/>
            <w:noWrap/>
            <w:hideMark/>
          </w:tcPr>
          <w:p w14:paraId="001935A6" w14:textId="77777777" w:rsidR="0035031A" w:rsidRPr="00AA6E87" w:rsidRDefault="0035031A" w:rsidP="00D30CC1">
            <w:pPr>
              <w:spacing w:after="200"/>
              <w:contextualSpacing/>
            </w:pPr>
            <w:r w:rsidRPr="00AA6E87">
              <w:t>27</w:t>
            </w:r>
          </w:p>
        </w:tc>
        <w:tc>
          <w:tcPr>
            <w:tcW w:w="8197" w:type="dxa"/>
            <w:noWrap/>
            <w:hideMark/>
          </w:tcPr>
          <w:p w14:paraId="622BC485" w14:textId="77777777" w:rsidR="0035031A" w:rsidRPr="00AA6E87" w:rsidRDefault="0035031A" w:rsidP="00D30CC1">
            <w:pPr>
              <w:spacing w:after="200"/>
              <w:contextualSpacing/>
            </w:pPr>
            <w:r w:rsidRPr="00AA6E87">
              <w:t xml:space="preserve">Fine, </w:t>
            </w:r>
            <w:proofErr w:type="spellStart"/>
            <w:r w:rsidRPr="00AA6E87">
              <w:t>montmorillonitic</w:t>
            </w:r>
            <w:proofErr w:type="spellEnd"/>
            <w:r w:rsidRPr="00AA6E87">
              <w:t xml:space="preserve">, mesic </w:t>
            </w:r>
            <w:proofErr w:type="spellStart"/>
            <w:r w:rsidRPr="00AA6E87">
              <w:t>Udollic</w:t>
            </w:r>
            <w:proofErr w:type="spellEnd"/>
            <w:r w:rsidRPr="00AA6E87">
              <w:t xml:space="preserve"> </w:t>
            </w:r>
            <w:proofErr w:type="spellStart"/>
            <w:r w:rsidRPr="00AA6E87">
              <w:t>Ochraqualfs</w:t>
            </w:r>
            <w:proofErr w:type="spellEnd"/>
          </w:p>
        </w:tc>
      </w:tr>
      <w:tr w:rsidR="0035031A" w:rsidRPr="00BD0397" w14:paraId="6D723715" w14:textId="77777777" w:rsidTr="00D30CC1">
        <w:trPr>
          <w:trHeight w:val="249"/>
        </w:trPr>
        <w:tc>
          <w:tcPr>
            <w:tcW w:w="1243" w:type="dxa"/>
            <w:noWrap/>
            <w:hideMark/>
          </w:tcPr>
          <w:p w14:paraId="75DE9144" w14:textId="77777777" w:rsidR="0035031A" w:rsidRPr="00AA6E87" w:rsidRDefault="0035031A" w:rsidP="00D30CC1">
            <w:pPr>
              <w:spacing w:after="200"/>
              <w:contextualSpacing/>
            </w:pPr>
            <w:r w:rsidRPr="00AA6E87">
              <w:t>28</w:t>
            </w:r>
          </w:p>
        </w:tc>
        <w:tc>
          <w:tcPr>
            <w:tcW w:w="8197" w:type="dxa"/>
            <w:noWrap/>
            <w:hideMark/>
          </w:tcPr>
          <w:p w14:paraId="7677CFF7" w14:textId="77777777" w:rsidR="0035031A" w:rsidRPr="00AA6E87" w:rsidRDefault="0035031A" w:rsidP="00D30CC1">
            <w:pPr>
              <w:spacing w:after="200"/>
              <w:contextualSpacing/>
            </w:pPr>
            <w:r w:rsidRPr="00AA6E87">
              <w:t xml:space="preserve">Fine, </w:t>
            </w:r>
            <w:proofErr w:type="spellStart"/>
            <w:r w:rsidRPr="00AA6E87">
              <w:t>smectitic</w:t>
            </w:r>
            <w:proofErr w:type="spellEnd"/>
            <w:r w:rsidRPr="00AA6E87">
              <w:t xml:space="preserve">, mesic </w:t>
            </w:r>
            <w:proofErr w:type="spellStart"/>
            <w:r w:rsidRPr="00AA6E87">
              <w:t>Udollic</w:t>
            </w:r>
            <w:proofErr w:type="spellEnd"/>
            <w:r w:rsidRPr="00AA6E87">
              <w:t xml:space="preserve"> </w:t>
            </w:r>
            <w:proofErr w:type="spellStart"/>
            <w:r w:rsidRPr="00AA6E87">
              <w:t>Endoaqualfs</w:t>
            </w:r>
            <w:proofErr w:type="spellEnd"/>
          </w:p>
        </w:tc>
      </w:tr>
      <w:tr w:rsidR="0035031A" w:rsidRPr="00BD0397" w14:paraId="2431F070" w14:textId="77777777" w:rsidTr="00D30CC1">
        <w:trPr>
          <w:trHeight w:val="249"/>
        </w:trPr>
        <w:tc>
          <w:tcPr>
            <w:tcW w:w="1243" w:type="dxa"/>
            <w:noWrap/>
            <w:hideMark/>
          </w:tcPr>
          <w:p w14:paraId="51B80050" w14:textId="77777777" w:rsidR="0035031A" w:rsidRPr="00AA6E87" w:rsidRDefault="0035031A" w:rsidP="00D30CC1">
            <w:pPr>
              <w:spacing w:after="200"/>
              <w:contextualSpacing/>
            </w:pPr>
            <w:r w:rsidRPr="00AA6E87">
              <w:t>29</w:t>
            </w:r>
          </w:p>
        </w:tc>
        <w:tc>
          <w:tcPr>
            <w:tcW w:w="8197" w:type="dxa"/>
            <w:noWrap/>
            <w:hideMark/>
          </w:tcPr>
          <w:p w14:paraId="1AF0D541" w14:textId="77777777" w:rsidR="0035031A" w:rsidRPr="00AA6E87" w:rsidRDefault="0035031A" w:rsidP="00D30CC1">
            <w:pPr>
              <w:spacing w:after="200"/>
              <w:contextualSpacing/>
            </w:pPr>
            <w:r w:rsidRPr="00AA6E87">
              <w:t xml:space="preserve">Fine, </w:t>
            </w:r>
            <w:proofErr w:type="spellStart"/>
            <w:r w:rsidRPr="00AA6E87">
              <w:t>smectitic</w:t>
            </w:r>
            <w:proofErr w:type="spellEnd"/>
            <w:r w:rsidRPr="00AA6E87">
              <w:t xml:space="preserve">, mesic Aquic </w:t>
            </w:r>
            <w:proofErr w:type="spellStart"/>
            <w:r w:rsidRPr="00AA6E87">
              <w:t>Argiudolls</w:t>
            </w:r>
            <w:proofErr w:type="spellEnd"/>
          </w:p>
        </w:tc>
      </w:tr>
      <w:tr w:rsidR="0035031A" w:rsidRPr="00BD0397" w14:paraId="6BF8302B" w14:textId="77777777" w:rsidTr="00D30CC1">
        <w:trPr>
          <w:trHeight w:val="249"/>
        </w:trPr>
        <w:tc>
          <w:tcPr>
            <w:tcW w:w="1243" w:type="dxa"/>
            <w:noWrap/>
            <w:hideMark/>
          </w:tcPr>
          <w:p w14:paraId="2AE1B9A7" w14:textId="77777777" w:rsidR="0035031A" w:rsidRPr="00AA6E87" w:rsidRDefault="0035031A" w:rsidP="00D30CC1">
            <w:pPr>
              <w:spacing w:after="200"/>
              <w:contextualSpacing/>
            </w:pPr>
            <w:r w:rsidRPr="00AA6E87">
              <w:t>30</w:t>
            </w:r>
          </w:p>
        </w:tc>
        <w:tc>
          <w:tcPr>
            <w:tcW w:w="8197" w:type="dxa"/>
            <w:noWrap/>
            <w:hideMark/>
          </w:tcPr>
          <w:p w14:paraId="309C01A7" w14:textId="77777777" w:rsidR="0035031A" w:rsidRPr="00AA6E87" w:rsidRDefault="0035031A" w:rsidP="00D30CC1">
            <w:pPr>
              <w:spacing w:after="200"/>
              <w:contextualSpacing/>
            </w:pPr>
            <w:r w:rsidRPr="00AA6E87">
              <w:t xml:space="preserve">Fine, </w:t>
            </w:r>
            <w:proofErr w:type="spellStart"/>
            <w:r w:rsidRPr="00AA6E87">
              <w:t>smectitic</w:t>
            </w:r>
            <w:proofErr w:type="spellEnd"/>
            <w:r w:rsidRPr="00AA6E87">
              <w:t xml:space="preserve">, mesic Aquic </w:t>
            </w:r>
            <w:proofErr w:type="spellStart"/>
            <w:r w:rsidRPr="00AA6E87">
              <w:t>Argiudolls</w:t>
            </w:r>
            <w:proofErr w:type="spellEnd"/>
          </w:p>
        </w:tc>
      </w:tr>
      <w:tr w:rsidR="0035031A" w:rsidRPr="00BD0397" w14:paraId="612A3B0C" w14:textId="77777777" w:rsidTr="00D30CC1">
        <w:trPr>
          <w:trHeight w:val="249"/>
        </w:trPr>
        <w:tc>
          <w:tcPr>
            <w:tcW w:w="1243" w:type="dxa"/>
            <w:noWrap/>
            <w:hideMark/>
          </w:tcPr>
          <w:p w14:paraId="2B5CCCEC" w14:textId="77777777" w:rsidR="0035031A" w:rsidRPr="00AA6E87" w:rsidRDefault="0035031A" w:rsidP="00D30CC1">
            <w:pPr>
              <w:spacing w:after="200"/>
              <w:contextualSpacing/>
            </w:pPr>
            <w:r w:rsidRPr="00AA6E87">
              <w:t>31</w:t>
            </w:r>
          </w:p>
        </w:tc>
        <w:tc>
          <w:tcPr>
            <w:tcW w:w="8197" w:type="dxa"/>
            <w:noWrap/>
            <w:hideMark/>
          </w:tcPr>
          <w:p w14:paraId="222E3169" w14:textId="77777777" w:rsidR="0035031A" w:rsidRPr="00AA6E87" w:rsidRDefault="0035031A" w:rsidP="00D30CC1">
            <w:pPr>
              <w:spacing w:after="200"/>
              <w:contextualSpacing/>
            </w:pPr>
            <w:r w:rsidRPr="00AA6E87">
              <w:t xml:space="preserve">Fine, </w:t>
            </w:r>
            <w:proofErr w:type="spellStart"/>
            <w:r w:rsidRPr="00AA6E87">
              <w:t>illitic</w:t>
            </w:r>
            <w:proofErr w:type="spellEnd"/>
            <w:r w:rsidRPr="00AA6E87">
              <w:t xml:space="preserve">, mesic Aquic </w:t>
            </w:r>
            <w:proofErr w:type="spellStart"/>
            <w:r w:rsidRPr="00AA6E87">
              <w:t>Hapludalfs</w:t>
            </w:r>
            <w:proofErr w:type="spellEnd"/>
          </w:p>
        </w:tc>
      </w:tr>
      <w:tr w:rsidR="0035031A" w:rsidRPr="00BD0397" w14:paraId="61270E72" w14:textId="77777777" w:rsidTr="00D30CC1">
        <w:trPr>
          <w:trHeight w:val="249"/>
        </w:trPr>
        <w:tc>
          <w:tcPr>
            <w:tcW w:w="1243" w:type="dxa"/>
            <w:noWrap/>
            <w:hideMark/>
          </w:tcPr>
          <w:p w14:paraId="2C281427" w14:textId="77777777" w:rsidR="0035031A" w:rsidRPr="00AA6E87" w:rsidRDefault="0035031A" w:rsidP="00D30CC1">
            <w:pPr>
              <w:spacing w:after="200"/>
              <w:contextualSpacing/>
            </w:pPr>
            <w:r w:rsidRPr="00AA6E87">
              <w:t>32</w:t>
            </w:r>
          </w:p>
        </w:tc>
        <w:tc>
          <w:tcPr>
            <w:tcW w:w="8197" w:type="dxa"/>
            <w:noWrap/>
            <w:hideMark/>
          </w:tcPr>
          <w:p w14:paraId="1899D903" w14:textId="77777777" w:rsidR="0035031A" w:rsidRPr="00AA6E87" w:rsidRDefault="0035031A" w:rsidP="00D30CC1">
            <w:pPr>
              <w:spacing w:after="200"/>
              <w:contextualSpacing/>
            </w:pPr>
            <w:r w:rsidRPr="00AA6E87">
              <w:t xml:space="preserve">Fine-loamy, mixed, </w:t>
            </w:r>
            <w:proofErr w:type="spellStart"/>
            <w:r w:rsidRPr="00AA6E87">
              <w:t>superactive</w:t>
            </w:r>
            <w:proofErr w:type="spellEnd"/>
            <w:r w:rsidRPr="00AA6E87">
              <w:t xml:space="preserve">, mesic </w:t>
            </w:r>
            <w:proofErr w:type="spellStart"/>
            <w:r w:rsidRPr="00AA6E87">
              <w:t>Typic</w:t>
            </w:r>
            <w:proofErr w:type="spellEnd"/>
            <w:r w:rsidRPr="00AA6E87">
              <w:t xml:space="preserve"> </w:t>
            </w:r>
            <w:proofErr w:type="spellStart"/>
            <w:r w:rsidRPr="00AA6E87">
              <w:t>Argiaquolls</w:t>
            </w:r>
            <w:proofErr w:type="spellEnd"/>
          </w:p>
        </w:tc>
      </w:tr>
      <w:tr w:rsidR="0035031A" w:rsidRPr="00BD0397" w14:paraId="141B6088" w14:textId="77777777" w:rsidTr="00D30CC1">
        <w:trPr>
          <w:trHeight w:val="249"/>
        </w:trPr>
        <w:tc>
          <w:tcPr>
            <w:tcW w:w="1243" w:type="dxa"/>
            <w:noWrap/>
            <w:hideMark/>
          </w:tcPr>
          <w:p w14:paraId="32621AC2" w14:textId="77777777" w:rsidR="0035031A" w:rsidRPr="00AA6E87" w:rsidRDefault="0035031A" w:rsidP="00D30CC1">
            <w:pPr>
              <w:spacing w:after="200"/>
              <w:contextualSpacing/>
            </w:pPr>
            <w:r w:rsidRPr="00AA6E87">
              <w:t>33</w:t>
            </w:r>
          </w:p>
        </w:tc>
        <w:tc>
          <w:tcPr>
            <w:tcW w:w="8197" w:type="dxa"/>
            <w:noWrap/>
            <w:hideMark/>
          </w:tcPr>
          <w:p w14:paraId="78A95B2A" w14:textId="77777777" w:rsidR="0035031A" w:rsidRPr="00AA6E87" w:rsidRDefault="0035031A" w:rsidP="00D30CC1">
            <w:pPr>
              <w:spacing w:after="200"/>
              <w:contextualSpacing/>
            </w:pPr>
            <w:r w:rsidRPr="00AA6E87">
              <w:t xml:space="preserve">Fine, </w:t>
            </w:r>
            <w:proofErr w:type="spellStart"/>
            <w:r w:rsidRPr="00AA6E87">
              <w:t>smectitic</w:t>
            </w:r>
            <w:proofErr w:type="spellEnd"/>
            <w:r w:rsidRPr="00AA6E87">
              <w:t xml:space="preserve">, mesic </w:t>
            </w:r>
            <w:proofErr w:type="spellStart"/>
            <w:r w:rsidRPr="00AA6E87">
              <w:t>Vertic</w:t>
            </w:r>
            <w:proofErr w:type="spellEnd"/>
            <w:r w:rsidRPr="00AA6E87">
              <w:t xml:space="preserve"> Albaqualfs</w:t>
            </w:r>
          </w:p>
        </w:tc>
      </w:tr>
      <w:tr w:rsidR="0035031A" w:rsidRPr="00BD0397" w14:paraId="3BC9907B" w14:textId="77777777" w:rsidTr="00D30CC1">
        <w:trPr>
          <w:trHeight w:val="249"/>
        </w:trPr>
        <w:tc>
          <w:tcPr>
            <w:tcW w:w="1243" w:type="dxa"/>
            <w:noWrap/>
            <w:hideMark/>
          </w:tcPr>
          <w:p w14:paraId="7953080F" w14:textId="77777777" w:rsidR="0035031A" w:rsidRPr="00AA6E87" w:rsidRDefault="0035031A" w:rsidP="00D30CC1">
            <w:pPr>
              <w:spacing w:after="200"/>
              <w:contextualSpacing/>
            </w:pPr>
            <w:r w:rsidRPr="00AA6E87">
              <w:t>34</w:t>
            </w:r>
          </w:p>
        </w:tc>
        <w:tc>
          <w:tcPr>
            <w:tcW w:w="8197" w:type="dxa"/>
            <w:noWrap/>
            <w:hideMark/>
          </w:tcPr>
          <w:p w14:paraId="016932AC" w14:textId="77777777" w:rsidR="0035031A" w:rsidRPr="00AA6E87" w:rsidRDefault="0035031A" w:rsidP="00D30CC1">
            <w:pPr>
              <w:spacing w:after="200"/>
              <w:contextualSpacing/>
            </w:pPr>
            <w:r w:rsidRPr="00AA6E87">
              <w:t xml:space="preserve">Fine-silty, mixed, </w:t>
            </w:r>
            <w:proofErr w:type="spellStart"/>
            <w:r w:rsidRPr="00AA6E87">
              <w:t>superactive</w:t>
            </w:r>
            <w:proofErr w:type="spellEnd"/>
            <w:r w:rsidRPr="00AA6E87">
              <w:t xml:space="preserve">, mesic </w:t>
            </w:r>
            <w:proofErr w:type="spellStart"/>
            <w:r w:rsidRPr="00AA6E87">
              <w:t>Typic</w:t>
            </w:r>
            <w:proofErr w:type="spellEnd"/>
            <w:r w:rsidRPr="00AA6E87">
              <w:t xml:space="preserve"> </w:t>
            </w:r>
            <w:proofErr w:type="spellStart"/>
            <w:r w:rsidRPr="00AA6E87">
              <w:t>Argiustolls</w:t>
            </w:r>
            <w:proofErr w:type="spellEnd"/>
          </w:p>
        </w:tc>
      </w:tr>
      <w:tr w:rsidR="0035031A" w:rsidRPr="00BD0397" w14:paraId="5D2DF6E6" w14:textId="77777777" w:rsidTr="00D30CC1">
        <w:trPr>
          <w:trHeight w:val="249"/>
        </w:trPr>
        <w:tc>
          <w:tcPr>
            <w:tcW w:w="1243" w:type="dxa"/>
            <w:noWrap/>
            <w:hideMark/>
          </w:tcPr>
          <w:p w14:paraId="3EB887AA" w14:textId="77777777" w:rsidR="0035031A" w:rsidRPr="00AA6E87" w:rsidRDefault="0035031A" w:rsidP="00D30CC1">
            <w:pPr>
              <w:spacing w:after="200"/>
              <w:contextualSpacing/>
            </w:pPr>
            <w:r w:rsidRPr="00AA6E87">
              <w:t>35</w:t>
            </w:r>
          </w:p>
        </w:tc>
        <w:tc>
          <w:tcPr>
            <w:tcW w:w="8197" w:type="dxa"/>
            <w:noWrap/>
            <w:hideMark/>
          </w:tcPr>
          <w:p w14:paraId="483966EA" w14:textId="77777777" w:rsidR="0035031A" w:rsidRPr="00AA6E87" w:rsidRDefault="0035031A" w:rsidP="00D30CC1">
            <w:pPr>
              <w:spacing w:after="200"/>
              <w:contextualSpacing/>
            </w:pPr>
            <w:r w:rsidRPr="00AA6E87">
              <w:t xml:space="preserve">Fine, mixed, active, mesic </w:t>
            </w:r>
            <w:proofErr w:type="spellStart"/>
            <w:r w:rsidRPr="00AA6E87">
              <w:t>Typic</w:t>
            </w:r>
            <w:proofErr w:type="spellEnd"/>
            <w:r w:rsidRPr="00AA6E87">
              <w:t xml:space="preserve"> </w:t>
            </w:r>
            <w:proofErr w:type="spellStart"/>
            <w:r w:rsidRPr="00AA6E87">
              <w:t>Argiaquolls</w:t>
            </w:r>
            <w:proofErr w:type="spellEnd"/>
          </w:p>
        </w:tc>
      </w:tr>
    </w:tbl>
    <w:p w14:paraId="4765B1DE" w14:textId="77777777" w:rsidR="0035031A" w:rsidRDefault="0035031A" w:rsidP="0035031A">
      <w:pPr>
        <w:spacing w:after="200" w:line="276" w:lineRule="auto"/>
        <w:rPr>
          <w:b/>
          <w:bCs/>
          <w:szCs w:val="20"/>
        </w:rPr>
      </w:pPr>
      <w:r>
        <w:rPr>
          <w:b/>
          <w:bCs/>
        </w:rPr>
        <w:br w:type="page"/>
      </w:r>
    </w:p>
    <w:p w14:paraId="23656319" w14:textId="420649C9" w:rsidR="0035031A" w:rsidRDefault="0035031A" w:rsidP="0035031A">
      <w:pPr>
        <w:pStyle w:val="ParaText"/>
        <w:spacing w:line="240" w:lineRule="auto"/>
        <w:ind w:firstLine="0"/>
      </w:pPr>
      <w:r w:rsidRPr="00FB517A">
        <w:rPr>
          <w:b/>
          <w:bCs/>
        </w:rPr>
        <w:lastRenderedPageBreak/>
        <w:t>T</w:t>
      </w:r>
      <w:r>
        <w:rPr>
          <w:b/>
          <w:bCs/>
        </w:rPr>
        <w:t>able S</w:t>
      </w:r>
      <w:r w:rsidR="001E0254">
        <w:rPr>
          <w:b/>
          <w:bCs/>
        </w:rPr>
        <w:t>4</w:t>
      </w:r>
    </w:p>
    <w:p w14:paraId="03977A92" w14:textId="77777777" w:rsidR="0035031A" w:rsidRDefault="0035031A" w:rsidP="0035031A">
      <w:pPr>
        <w:pStyle w:val="ParaText"/>
        <w:spacing w:before="0" w:line="240" w:lineRule="auto"/>
        <w:ind w:firstLine="0"/>
      </w:pPr>
      <w:r>
        <w:t>List of response variables and transformations used for data preparation.</w:t>
      </w:r>
    </w:p>
    <w:tbl>
      <w:tblPr>
        <w:tblStyle w:val="TableGrid"/>
        <w:tblW w:w="857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173"/>
      </w:tblGrid>
      <w:tr w:rsidR="0035031A" w:rsidRPr="00F10EC9" w14:paraId="5422216C" w14:textId="77777777" w:rsidTr="00D30CC1">
        <w:trPr>
          <w:trHeight w:val="261"/>
        </w:trPr>
        <w:tc>
          <w:tcPr>
            <w:tcW w:w="4405" w:type="dxa"/>
            <w:tcBorders>
              <w:top w:val="single" w:sz="12" w:space="0" w:color="auto"/>
              <w:bottom w:val="single" w:sz="12" w:space="0" w:color="auto"/>
            </w:tcBorders>
            <w:shd w:val="clear" w:color="auto" w:fill="auto"/>
            <w:noWrap/>
            <w:hideMark/>
          </w:tcPr>
          <w:p w14:paraId="6545E743" w14:textId="77777777" w:rsidR="0035031A" w:rsidRPr="00F10EC9" w:rsidRDefault="0035031A" w:rsidP="00D30CC1">
            <w:pPr>
              <w:pStyle w:val="TableHead"/>
              <w:rPr>
                <w:sz w:val="24"/>
                <w:szCs w:val="24"/>
              </w:rPr>
            </w:pPr>
            <w:r>
              <w:rPr>
                <w:sz w:val="24"/>
                <w:szCs w:val="24"/>
              </w:rPr>
              <w:t>Response Variable</w:t>
            </w:r>
          </w:p>
        </w:tc>
        <w:tc>
          <w:tcPr>
            <w:tcW w:w="4173" w:type="dxa"/>
            <w:tcBorders>
              <w:top w:val="single" w:sz="12" w:space="0" w:color="auto"/>
              <w:bottom w:val="single" w:sz="12" w:space="0" w:color="auto"/>
            </w:tcBorders>
            <w:shd w:val="clear" w:color="auto" w:fill="auto"/>
            <w:noWrap/>
            <w:hideMark/>
          </w:tcPr>
          <w:p w14:paraId="45C5E655" w14:textId="77777777" w:rsidR="0035031A" w:rsidRPr="00F10EC9" w:rsidRDefault="0035031A" w:rsidP="00D30CC1">
            <w:pPr>
              <w:pStyle w:val="TableHead"/>
              <w:rPr>
                <w:sz w:val="24"/>
                <w:szCs w:val="24"/>
              </w:rPr>
            </w:pPr>
            <w:r w:rsidRPr="00F10EC9">
              <w:rPr>
                <w:sz w:val="24"/>
                <w:szCs w:val="24"/>
              </w:rPr>
              <w:t>T</w:t>
            </w:r>
            <w:r>
              <w:rPr>
                <w:sz w:val="24"/>
                <w:szCs w:val="24"/>
              </w:rPr>
              <w:t>ransformation</w:t>
            </w:r>
          </w:p>
        </w:tc>
      </w:tr>
      <w:tr w:rsidR="0035031A" w:rsidRPr="00F10EC9" w14:paraId="7A11EA45" w14:textId="77777777" w:rsidTr="00D30CC1">
        <w:trPr>
          <w:trHeight w:val="310"/>
        </w:trPr>
        <w:tc>
          <w:tcPr>
            <w:tcW w:w="4405" w:type="dxa"/>
            <w:tcBorders>
              <w:top w:val="single" w:sz="12" w:space="0" w:color="auto"/>
            </w:tcBorders>
            <w:shd w:val="clear" w:color="auto" w:fill="auto"/>
            <w:noWrap/>
          </w:tcPr>
          <w:p w14:paraId="3C68FE35" w14:textId="77777777" w:rsidR="0035031A" w:rsidRPr="00F10EC9" w:rsidRDefault="0035031A" w:rsidP="00D30CC1">
            <w:pPr>
              <w:pStyle w:val="TableBody"/>
              <w:rPr>
                <w:sz w:val="24"/>
                <w:szCs w:val="24"/>
              </w:rPr>
            </w:pPr>
            <w:r>
              <w:rPr>
                <w:sz w:val="24"/>
                <w:szCs w:val="24"/>
              </w:rPr>
              <w:t>Soil health indicator observed values</w:t>
            </w:r>
          </w:p>
        </w:tc>
        <w:tc>
          <w:tcPr>
            <w:tcW w:w="4173" w:type="dxa"/>
            <w:tcBorders>
              <w:top w:val="single" w:sz="12" w:space="0" w:color="auto"/>
            </w:tcBorders>
            <w:shd w:val="clear" w:color="auto" w:fill="auto"/>
            <w:noWrap/>
          </w:tcPr>
          <w:p w14:paraId="22ED0628" w14:textId="77777777" w:rsidR="0035031A" w:rsidRPr="00F10EC9" w:rsidRDefault="0035031A" w:rsidP="00D30CC1">
            <w:pPr>
              <w:pStyle w:val="TableBody"/>
              <w:jc w:val="center"/>
              <w:rPr>
                <w:sz w:val="24"/>
                <w:szCs w:val="24"/>
              </w:rPr>
            </w:pPr>
          </w:p>
        </w:tc>
      </w:tr>
      <w:tr w:rsidR="0035031A" w:rsidRPr="00F10EC9" w14:paraId="2D07F74A" w14:textId="77777777" w:rsidTr="00D30CC1">
        <w:trPr>
          <w:trHeight w:val="310"/>
        </w:trPr>
        <w:tc>
          <w:tcPr>
            <w:tcW w:w="4405" w:type="dxa"/>
            <w:shd w:val="clear" w:color="auto" w:fill="auto"/>
            <w:noWrap/>
            <w:hideMark/>
          </w:tcPr>
          <w:p w14:paraId="1C554CAF" w14:textId="77777777" w:rsidR="0035031A" w:rsidRPr="00F10EC9" w:rsidRDefault="0035031A" w:rsidP="00D30CC1">
            <w:pPr>
              <w:pStyle w:val="TableBody"/>
              <w:ind w:firstLine="343"/>
              <w:rPr>
                <w:sz w:val="24"/>
                <w:szCs w:val="24"/>
              </w:rPr>
            </w:pPr>
            <w:r w:rsidRPr="00F10EC9">
              <w:rPr>
                <w:sz w:val="24"/>
                <w:szCs w:val="24"/>
              </w:rPr>
              <w:t>OM</w:t>
            </w:r>
          </w:p>
        </w:tc>
        <w:tc>
          <w:tcPr>
            <w:tcW w:w="4173" w:type="dxa"/>
            <w:shd w:val="clear" w:color="auto" w:fill="auto"/>
            <w:noWrap/>
            <w:hideMark/>
          </w:tcPr>
          <w:p w14:paraId="0F6B938B" w14:textId="77777777" w:rsidR="0035031A" w:rsidRPr="00F10EC9" w:rsidRDefault="0035031A" w:rsidP="00D30CC1">
            <w:pPr>
              <w:pStyle w:val="TableBody"/>
              <w:jc w:val="center"/>
              <w:rPr>
                <w:sz w:val="24"/>
                <w:szCs w:val="24"/>
              </w:rPr>
            </w:pPr>
            <w:r>
              <w:rPr>
                <w:sz w:val="24"/>
                <w:szCs w:val="24"/>
              </w:rPr>
              <w:t>Square root</w:t>
            </w:r>
          </w:p>
        </w:tc>
      </w:tr>
      <w:tr w:rsidR="0035031A" w:rsidRPr="00F10EC9" w14:paraId="7B5934F8" w14:textId="77777777" w:rsidTr="00D30CC1">
        <w:trPr>
          <w:trHeight w:val="310"/>
        </w:trPr>
        <w:tc>
          <w:tcPr>
            <w:tcW w:w="4405" w:type="dxa"/>
            <w:shd w:val="clear" w:color="auto" w:fill="auto"/>
            <w:noWrap/>
            <w:hideMark/>
          </w:tcPr>
          <w:p w14:paraId="25A6A9C7" w14:textId="77777777" w:rsidR="0035031A" w:rsidRPr="00F10EC9" w:rsidRDefault="0035031A" w:rsidP="00D30CC1">
            <w:pPr>
              <w:pStyle w:val="TableBody"/>
              <w:ind w:firstLine="343"/>
              <w:rPr>
                <w:sz w:val="24"/>
                <w:szCs w:val="24"/>
              </w:rPr>
            </w:pPr>
            <w:r w:rsidRPr="00D30CC1">
              <w:rPr>
                <w:bCs/>
                <w:sz w:val="24"/>
                <w:szCs w:val="24"/>
              </w:rPr>
              <w:t>POX-</w:t>
            </w:r>
            <w:r w:rsidRPr="00F10EC9">
              <w:rPr>
                <w:sz w:val="24"/>
                <w:szCs w:val="24"/>
              </w:rPr>
              <w:t>C</w:t>
            </w:r>
          </w:p>
        </w:tc>
        <w:tc>
          <w:tcPr>
            <w:tcW w:w="4173" w:type="dxa"/>
            <w:shd w:val="clear" w:color="auto" w:fill="auto"/>
            <w:noWrap/>
          </w:tcPr>
          <w:p w14:paraId="05CBED3F" w14:textId="77777777" w:rsidR="0035031A" w:rsidRPr="00F10EC9" w:rsidRDefault="0035031A" w:rsidP="00D30CC1">
            <w:pPr>
              <w:pStyle w:val="TableBody"/>
              <w:jc w:val="center"/>
              <w:rPr>
                <w:sz w:val="24"/>
                <w:szCs w:val="24"/>
              </w:rPr>
            </w:pPr>
            <w:r>
              <w:rPr>
                <w:sz w:val="24"/>
                <w:szCs w:val="24"/>
              </w:rPr>
              <w:t>None</w:t>
            </w:r>
          </w:p>
        </w:tc>
      </w:tr>
      <w:tr w:rsidR="0035031A" w:rsidRPr="00F10EC9" w14:paraId="7525BF72" w14:textId="77777777" w:rsidTr="00D30CC1">
        <w:trPr>
          <w:trHeight w:val="310"/>
        </w:trPr>
        <w:tc>
          <w:tcPr>
            <w:tcW w:w="4405" w:type="dxa"/>
            <w:shd w:val="clear" w:color="auto" w:fill="auto"/>
            <w:noWrap/>
            <w:hideMark/>
          </w:tcPr>
          <w:p w14:paraId="2851F8F1" w14:textId="77777777" w:rsidR="0035031A" w:rsidRPr="00F10EC9" w:rsidRDefault="0035031A" w:rsidP="00D30CC1">
            <w:pPr>
              <w:pStyle w:val="TableBody"/>
              <w:ind w:firstLine="343"/>
              <w:rPr>
                <w:sz w:val="24"/>
                <w:szCs w:val="24"/>
              </w:rPr>
            </w:pPr>
            <w:r w:rsidRPr="00F10EC9">
              <w:rPr>
                <w:sz w:val="24"/>
                <w:szCs w:val="24"/>
              </w:rPr>
              <w:t>ACE</w:t>
            </w:r>
          </w:p>
        </w:tc>
        <w:tc>
          <w:tcPr>
            <w:tcW w:w="4173" w:type="dxa"/>
            <w:shd w:val="clear" w:color="auto" w:fill="auto"/>
            <w:noWrap/>
          </w:tcPr>
          <w:p w14:paraId="6BC81049" w14:textId="77777777" w:rsidR="0035031A" w:rsidRPr="00F10EC9" w:rsidRDefault="0035031A" w:rsidP="00D30CC1">
            <w:pPr>
              <w:pStyle w:val="TableBody"/>
              <w:jc w:val="center"/>
              <w:rPr>
                <w:sz w:val="24"/>
                <w:szCs w:val="24"/>
              </w:rPr>
            </w:pPr>
            <w:r>
              <w:rPr>
                <w:sz w:val="24"/>
                <w:szCs w:val="24"/>
              </w:rPr>
              <w:t>Log</w:t>
            </w:r>
          </w:p>
        </w:tc>
      </w:tr>
      <w:tr w:rsidR="0035031A" w:rsidRPr="00F10EC9" w14:paraId="4773E76B" w14:textId="77777777" w:rsidTr="00D30CC1">
        <w:trPr>
          <w:trHeight w:val="310"/>
        </w:trPr>
        <w:tc>
          <w:tcPr>
            <w:tcW w:w="4405" w:type="dxa"/>
            <w:shd w:val="clear" w:color="auto" w:fill="auto"/>
            <w:noWrap/>
            <w:hideMark/>
          </w:tcPr>
          <w:p w14:paraId="442E6D3A" w14:textId="77777777" w:rsidR="0035031A" w:rsidRPr="00F10EC9" w:rsidRDefault="0035031A" w:rsidP="00D30CC1">
            <w:pPr>
              <w:pStyle w:val="TableBody"/>
              <w:ind w:firstLine="343"/>
              <w:rPr>
                <w:sz w:val="24"/>
                <w:szCs w:val="24"/>
              </w:rPr>
            </w:pPr>
            <w:proofErr w:type="spellStart"/>
            <w:r w:rsidRPr="00F10EC9">
              <w:rPr>
                <w:sz w:val="24"/>
                <w:szCs w:val="24"/>
              </w:rPr>
              <w:t>Resp</w:t>
            </w:r>
            <w:proofErr w:type="spellEnd"/>
            <w:r w:rsidRPr="00F10EC9">
              <w:rPr>
                <w:sz w:val="24"/>
                <w:szCs w:val="24"/>
              </w:rPr>
              <w:t xml:space="preserve"> 96</w:t>
            </w:r>
            <w:r>
              <w:rPr>
                <w:sz w:val="24"/>
                <w:szCs w:val="24"/>
              </w:rPr>
              <w:t xml:space="preserve"> </w:t>
            </w:r>
            <w:proofErr w:type="spellStart"/>
            <w:r>
              <w:rPr>
                <w:sz w:val="24"/>
                <w:szCs w:val="24"/>
              </w:rPr>
              <w:t>hr</w:t>
            </w:r>
            <w:proofErr w:type="spellEnd"/>
          </w:p>
        </w:tc>
        <w:tc>
          <w:tcPr>
            <w:tcW w:w="4173" w:type="dxa"/>
            <w:shd w:val="clear" w:color="auto" w:fill="auto"/>
            <w:noWrap/>
          </w:tcPr>
          <w:p w14:paraId="44212ACE" w14:textId="77777777" w:rsidR="0035031A" w:rsidRPr="00F10EC9" w:rsidRDefault="0035031A" w:rsidP="00D30CC1">
            <w:pPr>
              <w:pStyle w:val="TableBody"/>
              <w:jc w:val="center"/>
              <w:rPr>
                <w:sz w:val="24"/>
                <w:szCs w:val="24"/>
              </w:rPr>
            </w:pPr>
            <w:r>
              <w:rPr>
                <w:sz w:val="24"/>
                <w:szCs w:val="24"/>
              </w:rPr>
              <w:t>Log</w:t>
            </w:r>
          </w:p>
        </w:tc>
      </w:tr>
      <w:tr w:rsidR="0035031A" w:rsidRPr="00F10EC9" w14:paraId="4042C4DE" w14:textId="77777777" w:rsidTr="00D30CC1">
        <w:trPr>
          <w:trHeight w:val="310"/>
        </w:trPr>
        <w:tc>
          <w:tcPr>
            <w:tcW w:w="4405" w:type="dxa"/>
            <w:shd w:val="clear" w:color="auto" w:fill="auto"/>
            <w:noWrap/>
            <w:hideMark/>
          </w:tcPr>
          <w:p w14:paraId="4481D1C2" w14:textId="77777777" w:rsidR="0035031A" w:rsidRPr="00F10EC9" w:rsidRDefault="0035031A" w:rsidP="00D30CC1">
            <w:pPr>
              <w:pStyle w:val="TableBody"/>
              <w:ind w:firstLine="343"/>
              <w:rPr>
                <w:sz w:val="24"/>
                <w:szCs w:val="24"/>
              </w:rPr>
            </w:pPr>
            <w:proofErr w:type="spellStart"/>
            <w:r w:rsidRPr="00F10EC9">
              <w:rPr>
                <w:sz w:val="24"/>
                <w:szCs w:val="24"/>
              </w:rPr>
              <w:t>Resp</w:t>
            </w:r>
            <w:proofErr w:type="spellEnd"/>
            <w:r w:rsidRPr="00F10EC9">
              <w:rPr>
                <w:sz w:val="24"/>
                <w:szCs w:val="24"/>
              </w:rPr>
              <w:t xml:space="preserve"> 24</w:t>
            </w:r>
            <w:r>
              <w:rPr>
                <w:sz w:val="24"/>
                <w:szCs w:val="24"/>
              </w:rPr>
              <w:t xml:space="preserve"> </w:t>
            </w:r>
            <w:proofErr w:type="spellStart"/>
            <w:r>
              <w:rPr>
                <w:sz w:val="24"/>
                <w:szCs w:val="24"/>
              </w:rPr>
              <w:t>hr</w:t>
            </w:r>
            <w:proofErr w:type="spellEnd"/>
          </w:p>
        </w:tc>
        <w:tc>
          <w:tcPr>
            <w:tcW w:w="4173" w:type="dxa"/>
            <w:shd w:val="clear" w:color="auto" w:fill="auto"/>
            <w:noWrap/>
          </w:tcPr>
          <w:p w14:paraId="4358C9CE" w14:textId="77777777" w:rsidR="0035031A" w:rsidRPr="00F10EC9" w:rsidRDefault="0035031A" w:rsidP="00D30CC1">
            <w:pPr>
              <w:pStyle w:val="TableBody"/>
              <w:jc w:val="center"/>
              <w:rPr>
                <w:sz w:val="24"/>
                <w:szCs w:val="24"/>
              </w:rPr>
            </w:pPr>
            <w:r>
              <w:rPr>
                <w:sz w:val="24"/>
                <w:szCs w:val="24"/>
              </w:rPr>
              <w:t>Log</w:t>
            </w:r>
          </w:p>
        </w:tc>
      </w:tr>
      <w:tr w:rsidR="0035031A" w:rsidRPr="00F10EC9" w14:paraId="69DF2B71" w14:textId="77777777" w:rsidTr="00D30CC1">
        <w:trPr>
          <w:trHeight w:val="310"/>
        </w:trPr>
        <w:tc>
          <w:tcPr>
            <w:tcW w:w="4405" w:type="dxa"/>
            <w:shd w:val="clear" w:color="auto" w:fill="auto"/>
            <w:noWrap/>
            <w:hideMark/>
          </w:tcPr>
          <w:p w14:paraId="5C875B1A" w14:textId="77777777" w:rsidR="0035031A" w:rsidRPr="00F10EC9" w:rsidRDefault="0035031A" w:rsidP="00D30CC1">
            <w:pPr>
              <w:pStyle w:val="TableBody"/>
              <w:ind w:firstLine="343"/>
              <w:rPr>
                <w:sz w:val="24"/>
                <w:szCs w:val="24"/>
              </w:rPr>
            </w:pPr>
            <w:r w:rsidRPr="00F10EC9">
              <w:rPr>
                <w:sz w:val="24"/>
                <w:szCs w:val="24"/>
              </w:rPr>
              <w:t>WEOC</w:t>
            </w:r>
          </w:p>
        </w:tc>
        <w:tc>
          <w:tcPr>
            <w:tcW w:w="4173" w:type="dxa"/>
            <w:shd w:val="clear" w:color="auto" w:fill="auto"/>
            <w:noWrap/>
          </w:tcPr>
          <w:p w14:paraId="4FBEE835" w14:textId="77777777" w:rsidR="0035031A" w:rsidRPr="00F10EC9" w:rsidRDefault="0035031A" w:rsidP="00D30CC1">
            <w:pPr>
              <w:pStyle w:val="TableBody"/>
              <w:jc w:val="center"/>
              <w:rPr>
                <w:sz w:val="24"/>
                <w:szCs w:val="24"/>
              </w:rPr>
            </w:pPr>
            <w:r>
              <w:rPr>
                <w:sz w:val="24"/>
                <w:szCs w:val="24"/>
              </w:rPr>
              <w:t>Square root</w:t>
            </w:r>
          </w:p>
        </w:tc>
      </w:tr>
      <w:tr w:rsidR="0035031A" w:rsidRPr="00F10EC9" w14:paraId="3B1D2CF8" w14:textId="77777777" w:rsidTr="00D30CC1">
        <w:trPr>
          <w:trHeight w:val="310"/>
        </w:trPr>
        <w:tc>
          <w:tcPr>
            <w:tcW w:w="4405" w:type="dxa"/>
            <w:shd w:val="clear" w:color="auto" w:fill="auto"/>
            <w:noWrap/>
            <w:hideMark/>
          </w:tcPr>
          <w:p w14:paraId="3192875C" w14:textId="77777777" w:rsidR="0035031A" w:rsidRPr="00F10EC9" w:rsidRDefault="0035031A" w:rsidP="00D30CC1">
            <w:pPr>
              <w:pStyle w:val="TableBody"/>
              <w:ind w:firstLine="343"/>
              <w:rPr>
                <w:sz w:val="24"/>
                <w:szCs w:val="24"/>
              </w:rPr>
            </w:pPr>
            <w:r w:rsidRPr="00F10EC9">
              <w:rPr>
                <w:sz w:val="24"/>
                <w:szCs w:val="24"/>
              </w:rPr>
              <w:t>WEON</w:t>
            </w:r>
          </w:p>
        </w:tc>
        <w:tc>
          <w:tcPr>
            <w:tcW w:w="4173" w:type="dxa"/>
            <w:shd w:val="clear" w:color="auto" w:fill="auto"/>
            <w:noWrap/>
          </w:tcPr>
          <w:p w14:paraId="5D5FB12E" w14:textId="77777777" w:rsidR="0035031A" w:rsidRPr="00F10EC9" w:rsidRDefault="0035031A" w:rsidP="00D30CC1">
            <w:pPr>
              <w:pStyle w:val="TableBody"/>
              <w:jc w:val="center"/>
              <w:rPr>
                <w:sz w:val="24"/>
                <w:szCs w:val="24"/>
              </w:rPr>
            </w:pPr>
            <w:r>
              <w:rPr>
                <w:sz w:val="24"/>
                <w:szCs w:val="24"/>
              </w:rPr>
              <w:t>Square root</w:t>
            </w:r>
          </w:p>
        </w:tc>
      </w:tr>
      <w:tr w:rsidR="0035031A" w:rsidRPr="00F10EC9" w14:paraId="0EEF57CB" w14:textId="77777777" w:rsidTr="00D30CC1">
        <w:trPr>
          <w:trHeight w:val="310"/>
        </w:trPr>
        <w:tc>
          <w:tcPr>
            <w:tcW w:w="4405" w:type="dxa"/>
            <w:shd w:val="clear" w:color="auto" w:fill="auto"/>
            <w:noWrap/>
            <w:hideMark/>
          </w:tcPr>
          <w:p w14:paraId="6952F837" w14:textId="77777777" w:rsidR="0035031A" w:rsidRPr="00F10EC9" w:rsidRDefault="0035031A" w:rsidP="00D30CC1">
            <w:pPr>
              <w:pStyle w:val="TableBody"/>
              <w:ind w:firstLine="343"/>
              <w:rPr>
                <w:sz w:val="24"/>
                <w:szCs w:val="24"/>
              </w:rPr>
            </w:pPr>
            <w:r w:rsidRPr="00F10EC9">
              <w:rPr>
                <w:sz w:val="24"/>
                <w:szCs w:val="24"/>
              </w:rPr>
              <w:t>pH</w:t>
            </w:r>
          </w:p>
        </w:tc>
        <w:tc>
          <w:tcPr>
            <w:tcW w:w="4173" w:type="dxa"/>
            <w:shd w:val="clear" w:color="auto" w:fill="auto"/>
            <w:noWrap/>
          </w:tcPr>
          <w:p w14:paraId="2F0932D1" w14:textId="77777777" w:rsidR="0035031A" w:rsidRPr="00F10EC9" w:rsidRDefault="0035031A" w:rsidP="00D30CC1">
            <w:pPr>
              <w:pStyle w:val="TableBody"/>
              <w:jc w:val="center"/>
              <w:rPr>
                <w:sz w:val="24"/>
                <w:szCs w:val="24"/>
              </w:rPr>
            </w:pPr>
            <w:r>
              <w:rPr>
                <w:sz w:val="24"/>
                <w:szCs w:val="24"/>
              </w:rPr>
              <w:t>None</w:t>
            </w:r>
          </w:p>
        </w:tc>
      </w:tr>
      <w:tr w:rsidR="0035031A" w:rsidRPr="00F10EC9" w14:paraId="55737DE7" w14:textId="77777777" w:rsidTr="00D30CC1">
        <w:trPr>
          <w:trHeight w:val="310"/>
        </w:trPr>
        <w:tc>
          <w:tcPr>
            <w:tcW w:w="4405" w:type="dxa"/>
            <w:shd w:val="clear" w:color="auto" w:fill="auto"/>
            <w:noWrap/>
            <w:hideMark/>
          </w:tcPr>
          <w:p w14:paraId="0F07AE63" w14:textId="77777777" w:rsidR="0035031A" w:rsidRPr="00F10EC9" w:rsidRDefault="0035031A" w:rsidP="00D30CC1">
            <w:pPr>
              <w:pStyle w:val="TableBody"/>
              <w:ind w:firstLine="343"/>
              <w:rPr>
                <w:sz w:val="24"/>
                <w:szCs w:val="24"/>
              </w:rPr>
            </w:pPr>
            <w:r w:rsidRPr="00F10EC9">
              <w:rPr>
                <w:sz w:val="24"/>
                <w:szCs w:val="24"/>
              </w:rPr>
              <w:t>P</w:t>
            </w:r>
          </w:p>
        </w:tc>
        <w:tc>
          <w:tcPr>
            <w:tcW w:w="4173" w:type="dxa"/>
            <w:shd w:val="clear" w:color="auto" w:fill="auto"/>
            <w:noWrap/>
          </w:tcPr>
          <w:p w14:paraId="34B9C2D0" w14:textId="77777777" w:rsidR="0035031A" w:rsidRPr="00F10EC9" w:rsidRDefault="0035031A" w:rsidP="00D30CC1">
            <w:pPr>
              <w:pStyle w:val="TableBody"/>
              <w:jc w:val="center"/>
              <w:rPr>
                <w:sz w:val="24"/>
                <w:szCs w:val="24"/>
              </w:rPr>
            </w:pPr>
            <w:r>
              <w:rPr>
                <w:sz w:val="24"/>
                <w:szCs w:val="24"/>
              </w:rPr>
              <w:t>Log</w:t>
            </w:r>
          </w:p>
        </w:tc>
      </w:tr>
      <w:tr w:rsidR="0035031A" w:rsidRPr="00F10EC9" w14:paraId="50E5EC8E" w14:textId="77777777" w:rsidTr="00D30CC1">
        <w:trPr>
          <w:trHeight w:val="310"/>
        </w:trPr>
        <w:tc>
          <w:tcPr>
            <w:tcW w:w="4405" w:type="dxa"/>
            <w:shd w:val="clear" w:color="auto" w:fill="auto"/>
            <w:noWrap/>
            <w:hideMark/>
          </w:tcPr>
          <w:p w14:paraId="4AB1E6AD" w14:textId="77777777" w:rsidR="0035031A" w:rsidRPr="00F10EC9" w:rsidRDefault="0035031A" w:rsidP="00D30CC1">
            <w:pPr>
              <w:pStyle w:val="TableBody"/>
              <w:ind w:firstLine="343"/>
              <w:rPr>
                <w:sz w:val="24"/>
                <w:szCs w:val="24"/>
              </w:rPr>
            </w:pPr>
            <w:r w:rsidRPr="00F10EC9">
              <w:rPr>
                <w:sz w:val="24"/>
                <w:szCs w:val="24"/>
              </w:rPr>
              <w:t>K</w:t>
            </w:r>
          </w:p>
        </w:tc>
        <w:tc>
          <w:tcPr>
            <w:tcW w:w="4173" w:type="dxa"/>
            <w:shd w:val="clear" w:color="auto" w:fill="auto"/>
            <w:noWrap/>
          </w:tcPr>
          <w:p w14:paraId="25EB59EF" w14:textId="77777777" w:rsidR="0035031A" w:rsidRPr="00F10EC9" w:rsidRDefault="0035031A" w:rsidP="00D30CC1">
            <w:pPr>
              <w:pStyle w:val="TableBody"/>
              <w:jc w:val="center"/>
              <w:rPr>
                <w:sz w:val="24"/>
                <w:szCs w:val="24"/>
              </w:rPr>
            </w:pPr>
            <w:r>
              <w:rPr>
                <w:sz w:val="24"/>
                <w:szCs w:val="24"/>
              </w:rPr>
              <w:t>Square root</w:t>
            </w:r>
          </w:p>
        </w:tc>
      </w:tr>
      <w:tr w:rsidR="0035031A" w:rsidRPr="00F10EC9" w14:paraId="02822638" w14:textId="77777777" w:rsidTr="00D30CC1">
        <w:trPr>
          <w:trHeight w:val="310"/>
        </w:trPr>
        <w:tc>
          <w:tcPr>
            <w:tcW w:w="4405" w:type="dxa"/>
            <w:shd w:val="clear" w:color="auto" w:fill="auto"/>
            <w:noWrap/>
            <w:hideMark/>
          </w:tcPr>
          <w:p w14:paraId="1FB0EF69" w14:textId="77777777" w:rsidR="0035031A" w:rsidRPr="00F10EC9" w:rsidRDefault="0035031A" w:rsidP="00D30CC1">
            <w:pPr>
              <w:pStyle w:val="TableBody"/>
              <w:ind w:firstLine="343"/>
              <w:rPr>
                <w:sz w:val="24"/>
                <w:szCs w:val="24"/>
              </w:rPr>
            </w:pPr>
            <w:r w:rsidRPr="00F10EC9">
              <w:rPr>
                <w:sz w:val="24"/>
                <w:szCs w:val="24"/>
              </w:rPr>
              <w:t>WAS</w:t>
            </w:r>
          </w:p>
        </w:tc>
        <w:tc>
          <w:tcPr>
            <w:tcW w:w="4173" w:type="dxa"/>
            <w:shd w:val="clear" w:color="auto" w:fill="auto"/>
            <w:noWrap/>
          </w:tcPr>
          <w:p w14:paraId="61DD513B" w14:textId="77777777" w:rsidR="0035031A" w:rsidRPr="00F10EC9" w:rsidRDefault="0035031A" w:rsidP="00D30CC1">
            <w:pPr>
              <w:pStyle w:val="TableBody"/>
              <w:jc w:val="center"/>
              <w:rPr>
                <w:sz w:val="24"/>
                <w:szCs w:val="24"/>
              </w:rPr>
            </w:pPr>
            <w:r>
              <w:rPr>
                <w:sz w:val="24"/>
                <w:szCs w:val="24"/>
              </w:rPr>
              <w:t>Square root</w:t>
            </w:r>
          </w:p>
        </w:tc>
      </w:tr>
      <w:tr w:rsidR="0035031A" w:rsidRPr="00F10EC9" w14:paraId="23A9CF77" w14:textId="77777777" w:rsidTr="00D30CC1">
        <w:trPr>
          <w:trHeight w:val="310"/>
        </w:trPr>
        <w:tc>
          <w:tcPr>
            <w:tcW w:w="4405" w:type="dxa"/>
            <w:shd w:val="clear" w:color="auto" w:fill="auto"/>
            <w:noWrap/>
            <w:hideMark/>
          </w:tcPr>
          <w:p w14:paraId="5600E764" w14:textId="77777777" w:rsidR="0035031A" w:rsidRPr="00F10EC9" w:rsidRDefault="0035031A" w:rsidP="00D30CC1">
            <w:pPr>
              <w:pStyle w:val="TableBody"/>
              <w:ind w:firstLine="343"/>
              <w:rPr>
                <w:sz w:val="24"/>
                <w:szCs w:val="24"/>
              </w:rPr>
            </w:pPr>
            <w:r w:rsidRPr="00F10EC9">
              <w:rPr>
                <w:sz w:val="24"/>
                <w:szCs w:val="24"/>
              </w:rPr>
              <w:t>AWC</w:t>
            </w:r>
          </w:p>
        </w:tc>
        <w:tc>
          <w:tcPr>
            <w:tcW w:w="4173" w:type="dxa"/>
            <w:shd w:val="clear" w:color="auto" w:fill="auto"/>
            <w:noWrap/>
          </w:tcPr>
          <w:p w14:paraId="7BB9D83E" w14:textId="77777777" w:rsidR="0035031A" w:rsidRPr="00F10EC9" w:rsidRDefault="0035031A" w:rsidP="00D30CC1">
            <w:pPr>
              <w:pStyle w:val="TableBody"/>
              <w:jc w:val="center"/>
              <w:rPr>
                <w:sz w:val="24"/>
                <w:szCs w:val="24"/>
              </w:rPr>
            </w:pPr>
            <w:r>
              <w:rPr>
                <w:sz w:val="24"/>
                <w:szCs w:val="24"/>
              </w:rPr>
              <w:t>Square</w:t>
            </w:r>
          </w:p>
        </w:tc>
      </w:tr>
      <w:tr w:rsidR="0035031A" w:rsidRPr="00F10EC9" w14:paraId="7EE10597" w14:textId="77777777" w:rsidTr="00D30CC1">
        <w:trPr>
          <w:trHeight w:val="310"/>
        </w:trPr>
        <w:tc>
          <w:tcPr>
            <w:tcW w:w="4405" w:type="dxa"/>
            <w:shd w:val="clear" w:color="auto" w:fill="auto"/>
            <w:noWrap/>
            <w:hideMark/>
          </w:tcPr>
          <w:p w14:paraId="4488D555" w14:textId="77777777" w:rsidR="0035031A" w:rsidRPr="00F10EC9" w:rsidRDefault="0035031A" w:rsidP="00D30CC1">
            <w:pPr>
              <w:pStyle w:val="TableBody"/>
              <w:rPr>
                <w:sz w:val="24"/>
                <w:szCs w:val="24"/>
              </w:rPr>
            </w:pPr>
            <w:r w:rsidRPr="00F10EC9">
              <w:rPr>
                <w:sz w:val="24"/>
                <w:szCs w:val="24"/>
              </w:rPr>
              <w:t>Crops</w:t>
            </w:r>
          </w:p>
        </w:tc>
        <w:tc>
          <w:tcPr>
            <w:tcW w:w="4173" w:type="dxa"/>
            <w:shd w:val="clear" w:color="auto" w:fill="auto"/>
            <w:noWrap/>
          </w:tcPr>
          <w:p w14:paraId="506CF432" w14:textId="77777777" w:rsidR="0035031A" w:rsidRPr="00F10EC9" w:rsidRDefault="0035031A" w:rsidP="00D30CC1">
            <w:pPr>
              <w:pStyle w:val="TableBody"/>
              <w:jc w:val="center"/>
              <w:rPr>
                <w:sz w:val="24"/>
                <w:szCs w:val="24"/>
              </w:rPr>
            </w:pPr>
          </w:p>
        </w:tc>
      </w:tr>
      <w:tr w:rsidR="0035031A" w:rsidRPr="00F10EC9" w14:paraId="7C73C950" w14:textId="77777777" w:rsidTr="00D30CC1">
        <w:trPr>
          <w:trHeight w:val="310"/>
        </w:trPr>
        <w:tc>
          <w:tcPr>
            <w:tcW w:w="4405" w:type="dxa"/>
            <w:shd w:val="clear" w:color="auto" w:fill="auto"/>
            <w:noWrap/>
            <w:hideMark/>
          </w:tcPr>
          <w:p w14:paraId="19A0737C" w14:textId="77777777" w:rsidR="0035031A" w:rsidRPr="00F10EC9" w:rsidRDefault="0035031A" w:rsidP="00D30CC1">
            <w:pPr>
              <w:pStyle w:val="TableBody"/>
              <w:ind w:firstLine="343"/>
              <w:rPr>
                <w:sz w:val="24"/>
                <w:szCs w:val="24"/>
              </w:rPr>
            </w:pPr>
            <w:r w:rsidRPr="00F10EC9">
              <w:rPr>
                <w:sz w:val="24"/>
                <w:szCs w:val="24"/>
              </w:rPr>
              <w:t>Corn</w:t>
            </w:r>
          </w:p>
        </w:tc>
        <w:tc>
          <w:tcPr>
            <w:tcW w:w="4173" w:type="dxa"/>
            <w:shd w:val="clear" w:color="auto" w:fill="auto"/>
            <w:noWrap/>
          </w:tcPr>
          <w:p w14:paraId="3B7B18D0" w14:textId="77777777" w:rsidR="0035031A" w:rsidRPr="00F10EC9" w:rsidRDefault="0035031A" w:rsidP="00D30CC1">
            <w:pPr>
              <w:pStyle w:val="TableBody"/>
              <w:jc w:val="center"/>
              <w:rPr>
                <w:sz w:val="24"/>
                <w:szCs w:val="24"/>
              </w:rPr>
            </w:pPr>
            <w:r>
              <w:rPr>
                <w:sz w:val="24"/>
                <w:szCs w:val="24"/>
              </w:rPr>
              <w:t>None</w:t>
            </w:r>
          </w:p>
        </w:tc>
      </w:tr>
      <w:tr w:rsidR="0035031A" w:rsidRPr="00F10EC9" w14:paraId="2CB616BA" w14:textId="77777777" w:rsidTr="00D30CC1">
        <w:trPr>
          <w:trHeight w:val="310"/>
        </w:trPr>
        <w:tc>
          <w:tcPr>
            <w:tcW w:w="4405" w:type="dxa"/>
            <w:shd w:val="clear" w:color="auto" w:fill="auto"/>
            <w:noWrap/>
            <w:hideMark/>
          </w:tcPr>
          <w:p w14:paraId="00FEF588" w14:textId="77777777" w:rsidR="0035031A" w:rsidRPr="00F10EC9" w:rsidRDefault="0035031A" w:rsidP="00D30CC1">
            <w:pPr>
              <w:pStyle w:val="TableBody"/>
              <w:ind w:firstLine="343"/>
              <w:rPr>
                <w:sz w:val="24"/>
                <w:szCs w:val="24"/>
              </w:rPr>
            </w:pPr>
            <w:r w:rsidRPr="00F10EC9">
              <w:rPr>
                <w:sz w:val="24"/>
                <w:szCs w:val="24"/>
              </w:rPr>
              <w:t>Soybean</w:t>
            </w:r>
          </w:p>
        </w:tc>
        <w:tc>
          <w:tcPr>
            <w:tcW w:w="4173" w:type="dxa"/>
            <w:shd w:val="clear" w:color="auto" w:fill="auto"/>
            <w:noWrap/>
          </w:tcPr>
          <w:p w14:paraId="501E126F" w14:textId="77777777" w:rsidR="0035031A" w:rsidRPr="00F10EC9" w:rsidRDefault="0035031A" w:rsidP="00D30CC1">
            <w:pPr>
              <w:pStyle w:val="TableBody"/>
              <w:jc w:val="center"/>
              <w:rPr>
                <w:sz w:val="24"/>
                <w:szCs w:val="24"/>
              </w:rPr>
            </w:pPr>
            <w:r>
              <w:rPr>
                <w:sz w:val="24"/>
                <w:szCs w:val="24"/>
              </w:rPr>
              <w:t>None</w:t>
            </w:r>
          </w:p>
        </w:tc>
      </w:tr>
      <w:tr w:rsidR="0035031A" w:rsidRPr="00F10EC9" w14:paraId="3820B081" w14:textId="77777777" w:rsidTr="00D30CC1">
        <w:trPr>
          <w:trHeight w:val="310"/>
        </w:trPr>
        <w:tc>
          <w:tcPr>
            <w:tcW w:w="4405" w:type="dxa"/>
            <w:shd w:val="clear" w:color="auto" w:fill="auto"/>
            <w:noWrap/>
            <w:hideMark/>
          </w:tcPr>
          <w:p w14:paraId="609299D0" w14:textId="77777777" w:rsidR="0035031A" w:rsidRPr="00F10EC9" w:rsidRDefault="0035031A" w:rsidP="00D30CC1">
            <w:pPr>
              <w:pStyle w:val="TableBody"/>
              <w:rPr>
                <w:sz w:val="24"/>
                <w:szCs w:val="24"/>
              </w:rPr>
            </w:pPr>
            <w:r w:rsidRPr="00F10EC9">
              <w:rPr>
                <w:sz w:val="24"/>
                <w:szCs w:val="24"/>
              </w:rPr>
              <w:t xml:space="preserve">Soil health assessment </w:t>
            </w:r>
            <w:r>
              <w:rPr>
                <w:sz w:val="24"/>
                <w:szCs w:val="24"/>
              </w:rPr>
              <w:t xml:space="preserve">composite </w:t>
            </w:r>
            <w:r w:rsidRPr="00F10EC9">
              <w:rPr>
                <w:sz w:val="24"/>
                <w:szCs w:val="24"/>
              </w:rPr>
              <w:t>scores</w:t>
            </w:r>
          </w:p>
        </w:tc>
        <w:tc>
          <w:tcPr>
            <w:tcW w:w="4173" w:type="dxa"/>
            <w:shd w:val="clear" w:color="auto" w:fill="auto"/>
          </w:tcPr>
          <w:p w14:paraId="73239BE6" w14:textId="77777777" w:rsidR="0035031A" w:rsidRPr="00F10EC9" w:rsidRDefault="0035031A" w:rsidP="00D30CC1">
            <w:pPr>
              <w:pStyle w:val="TableBody"/>
              <w:jc w:val="center"/>
              <w:rPr>
                <w:sz w:val="24"/>
                <w:szCs w:val="24"/>
              </w:rPr>
            </w:pPr>
          </w:p>
        </w:tc>
      </w:tr>
      <w:tr w:rsidR="0035031A" w:rsidRPr="00F10EC9" w14:paraId="7D0274F2" w14:textId="77777777" w:rsidTr="00D30CC1">
        <w:trPr>
          <w:trHeight w:val="310"/>
        </w:trPr>
        <w:tc>
          <w:tcPr>
            <w:tcW w:w="4405" w:type="dxa"/>
            <w:shd w:val="clear" w:color="auto" w:fill="auto"/>
            <w:noWrap/>
            <w:hideMark/>
          </w:tcPr>
          <w:p w14:paraId="592018B5" w14:textId="77777777" w:rsidR="0035031A" w:rsidRPr="00F10EC9" w:rsidRDefault="0035031A" w:rsidP="00D30CC1">
            <w:pPr>
              <w:pStyle w:val="TableBody"/>
              <w:ind w:firstLine="343"/>
              <w:rPr>
                <w:sz w:val="24"/>
                <w:szCs w:val="24"/>
              </w:rPr>
            </w:pPr>
            <w:r w:rsidRPr="00F10EC9">
              <w:rPr>
                <w:sz w:val="24"/>
                <w:szCs w:val="24"/>
              </w:rPr>
              <w:t>SMAF</w:t>
            </w:r>
          </w:p>
        </w:tc>
        <w:tc>
          <w:tcPr>
            <w:tcW w:w="4173" w:type="dxa"/>
            <w:shd w:val="clear" w:color="auto" w:fill="auto"/>
            <w:noWrap/>
          </w:tcPr>
          <w:p w14:paraId="3F60BB69" w14:textId="77777777" w:rsidR="0035031A" w:rsidRPr="00F10EC9" w:rsidRDefault="0035031A" w:rsidP="00D30CC1">
            <w:pPr>
              <w:pStyle w:val="TableBody"/>
              <w:jc w:val="center"/>
              <w:rPr>
                <w:sz w:val="24"/>
                <w:szCs w:val="24"/>
              </w:rPr>
            </w:pPr>
            <w:r>
              <w:rPr>
                <w:sz w:val="24"/>
                <w:szCs w:val="24"/>
              </w:rPr>
              <w:t>Square</w:t>
            </w:r>
          </w:p>
        </w:tc>
      </w:tr>
      <w:tr w:rsidR="0035031A" w:rsidRPr="00F10EC9" w14:paraId="6907A921" w14:textId="77777777" w:rsidTr="00D30CC1">
        <w:trPr>
          <w:trHeight w:val="310"/>
        </w:trPr>
        <w:tc>
          <w:tcPr>
            <w:tcW w:w="4405" w:type="dxa"/>
            <w:shd w:val="clear" w:color="auto" w:fill="auto"/>
            <w:noWrap/>
            <w:hideMark/>
          </w:tcPr>
          <w:p w14:paraId="624D64E5" w14:textId="77777777" w:rsidR="0035031A" w:rsidRPr="00F10EC9" w:rsidRDefault="0035031A" w:rsidP="00D30CC1">
            <w:pPr>
              <w:pStyle w:val="TableBody"/>
              <w:ind w:firstLine="343"/>
              <w:rPr>
                <w:sz w:val="24"/>
                <w:szCs w:val="24"/>
              </w:rPr>
            </w:pPr>
            <w:r w:rsidRPr="00F10EC9">
              <w:rPr>
                <w:sz w:val="24"/>
                <w:szCs w:val="24"/>
              </w:rPr>
              <w:t>CASH</w:t>
            </w:r>
          </w:p>
        </w:tc>
        <w:tc>
          <w:tcPr>
            <w:tcW w:w="4173" w:type="dxa"/>
            <w:shd w:val="clear" w:color="auto" w:fill="auto"/>
            <w:noWrap/>
          </w:tcPr>
          <w:p w14:paraId="4E247E21" w14:textId="77777777" w:rsidR="0035031A" w:rsidRPr="00F10EC9" w:rsidRDefault="0035031A" w:rsidP="00D30CC1">
            <w:pPr>
              <w:pStyle w:val="TableBody"/>
              <w:jc w:val="center"/>
              <w:rPr>
                <w:sz w:val="24"/>
                <w:szCs w:val="24"/>
              </w:rPr>
            </w:pPr>
            <w:r>
              <w:rPr>
                <w:sz w:val="24"/>
                <w:szCs w:val="24"/>
              </w:rPr>
              <w:t>None</w:t>
            </w:r>
          </w:p>
        </w:tc>
      </w:tr>
      <w:tr w:rsidR="0035031A" w:rsidRPr="00F10EC9" w14:paraId="70B223CC" w14:textId="77777777" w:rsidTr="00D30CC1">
        <w:trPr>
          <w:trHeight w:val="310"/>
        </w:trPr>
        <w:tc>
          <w:tcPr>
            <w:tcW w:w="4405" w:type="dxa"/>
            <w:shd w:val="clear" w:color="auto" w:fill="auto"/>
            <w:noWrap/>
            <w:hideMark/>
          </w:tcPr>
          <w:p w14:paraId="65F03B77" w14:textId="77777777" w:rsidR="0035031A" w:rsidRPr="00F10EC9" w:rsidRDefault="0035031A" w:rsidP="00D30CC1">
            <w:pPr>
              <w:pStyle w:val="TableBody"/>
              <w:ind w:firstLine="343"/>
              <w:rPr>
                <w:sz w:val="24"/>
                <w:szCs w:val="24"/>
              </w:rPr>
            </w:pPr>
            <w:r w:rsidRPr="00F10EC9">
              <w:rPr>
                <w:sz w:val="24"/>
                <w:szCs w:val="24"/>
              </w:rPr>
              <w:t>HSHT</w:t>
            </w:r>
          </w:p>
        </w:tc>
        <w:tc>
          <w:tcPr>
            <w:tcW w:w="4173" w:type="dxa"/>
            <w:shd w:val="clear" w:color="auto" w:fill="auto"/>
            <w:noWrap/>
          </w:tcPr>
          <w:p w14:paraId="4C263453" w14:textId="77777777" w:rsidR="0035031A" w:rsidRPr="00F10EC9" w:rsidRDefault="0035031A" w:rsidP="00D30CC1">
            <w:pPr>
              <w:pStyle w:val="TableBody"/>
              <w:jc w:val="center"/>
              <w:rPr>
                <w:sz w:val="24"/>
                <w:szCs w:val="24"/>
              </w:rPr>
            </w:pPr>
            <w:r>
              <w:rPr>
                <w:sz w:val="24"/>
                <w:szCs w:val="24"/>
              </w:rPr>
              <w:t>None</w:t>
            </w:r>
          </w:p>
        </w:tc>
      </w:tr>
    </w:tbl>
    <w:p w14:paraId="7D144C88" w14:textId="77777777" w:rsidR="0035031A" w:rsidRPr="004539A6" w:rsidRDefault="0035031A" w:rsidP="0035031A">
      <w:pPr>
        <w:spacing w:after="200" w:line="276" w:lineRule="auto"/>
        <w:rPr>
          <w:b/>
          <w:bCs/>
          <w:szCs w:val="20"/>
        </w:rPr>
      </w:pPr>
      <w:r>
        <w:t xml:space="preserve">Notes: </w:t>
      </w:r>
      <w:r w:rsidRPr="00432FD7">
        <w:rPr>
          <w:bCs/>
          <w:szCs w:val="36"/>
        </w:rPr>
        <w:t xml:space="preserve">ACE, autoclaved citrate extractable protein index; AWC, available water capacity; K, potassium; OM, organic matter loss on ignition; P, phosphorus; </w:t>
      </w:r>
      <w:r w:rsidRPr="00D30CC1">
        <w:rPr>
          <w:bCs/>
        </w:rPr>
        <w:t>POX</w:t>
      </w:r>
      <w:r>
        <w:rPr>
          <w:b/>
          <w:sz w:val="21"/>
          <w:szCs w:val="21"/>
        </w:rPr>
        <w:t>-</w:t>
      </w:r>
      <w:r w:rsidRPr="00432FD7">
        <w:rPr>
          <w:bCs/>
          <w:szCs w:val="36"/>
        </w:rPr>
        <w:t xml:space="preserve">C, </w:t>
      </w:r>
      <w:r>
        <w:rPr>
          <w:bCs/>
          <w:szCs w:val="36"/>
        </w:rPr>
        <w:t>p</w:t>
      </w:r>
      <w:r w:rsidRPr="00166557">
        <w:rPr>
          <w:bCs/>
          <w:szCs w:val="36"/>
        </w:rPr>
        <w:t>ermanganate oxidizable carbon</w:t>
      </w:r>
      <w:r w:rsidRPr="00432FD7">
        <w:rPr>
          <w:bCs/>
          <w:szCs w:val="36"/>
        </w:rPr>
        <w:t>;</w:t>
      </w:r>
      <w:r>
        <w:rPr>
          <w:bCs/>
          <w:szCs w:val="36"/>
        </w:rPr>
        <w:t xml:space="preserve"> </w:t>
      </w:r>
      <w:proofErr w:type="spellStart"/>
      <w:r w:rsidRPr="00432FD7">
        <w:rPr>
          <w:bCs/>
          <w:szCs w:val="36"/>
        </w:rPr>
        <w:t>Resp</w:t>
      </w:r>
      <w:proofErr w:type="spellEnd"/>
      <w:r w:rsidRPr="00432FD7">
        <w:rPr>
          <w:bCs/>
          <w:szCs w:val="36"/>
        </w:rPr>
        <w:t xml:space="preserve"> (24 </w:t>
      </w:r>
      <w:proofErr w:type="spellStart"/>
      <w:r w:rsidRPr="00432FD7">
        <w:rPr>
          <w:bCs/>
          <w:szCs w:val="36"/>
        </w:rPr>
        <w:t>hr</w:t>
      </w:r>
      <w:proofErr w:type="spellEnd"/>
      <w:r w:rsidRPr="00432FD7">
        <w:rPr>
          <w:bCs/>
          <w:szCs w:val="36"/>
        </w:rPr>
        <w:t xml:space="preserve">), microbial respiration 24-hour incubation; </w:t>
      </w:r>
      <w:proofErr w:type="spellStart"/>
      <w:r w:rsidRPr="00432FD7">
        <w:rPr>
          <w:bCs/>
          <w:szCs w:val="36"/>
        </w:rPr>
        <w:t>Resp</w:t>
      </w:r>
      <w:proofErr w:type="spellEnd"/>
      <w:r w:rsidRPr="00432FD7">
        <w:rPr>
          <w:bCs/>
          <w:szCs w:val="36"/>
        </w:rPr>
        <w:t xml:space="preserve"> (96 </w:t>
      </w:r>
      <w:proofErr w:type="spellStart"/>
      <w:r w:rsidRPr="00432FD7">
        <w:rPr>
          <w:bCs/>
          <w:szCs w:val="36"/>
        </w:rPr>
        <w:t>hr</w:t>
      </w:r>
      <w:proofErr w:type="spellEnd"/>
      <w:r w:rsidRPr="00432FD7">
        <w:rPr>
          <w:bCs/>
          <w:szCs w:val="36"/>
        </w:rPr>
        <w:t xml:space="preserve">), microbial respiration 96-hour incubation; </w:t>
      </w:r>
      <w:r>
        <w:rPr>
          <w:bCs/>
          <w:szCs w:val="36"/>
        </w:rPr>
        <w:t>WAS</w:t>
      </w:r>
      <w:r w:rsidRPr="00432FD7">
        <w:rPr>
          <w:bCs/>
          <w:szCs w:val="36"/>
        </w:rPr>
        <w:t>, wet aggregate stability; WEOC, water-extractable organic carbon; WEON, water-extractable organic nitrogen</w:t>
      </w:r>
      <w:r>
        <w:rPr>
          <w:bCs/>
          <w:szCs w:val="36"/>
        </w:rPr>
        <w:t>.</w:t>
      </w:r>
      <w:r>
        <w:rPr>
          <w:b/>
          <w:bCs/>
        </w:rPr>
        <w:br w:type="page"/>
      </w:r>
    </w:p>
    <w:p w14:paraId="0EC8EE54" w14:textId="444CFED3" w:rsidR="0035031A" w:rsidRDefault="0035031A" w:rsidP="0035031A">
      <w:pPr>
        <w:pStyle w:val="ParaText"/>
        <w:spacing w:line="240" w:lineRule="auto"/>
        <w:ind w:firstLine="0"/>
      </w:pPr>
      <w:r w:rsidRPr="00FB517A">
        <w:rPr>
          <w:b/>
          <w:bCs/>
        </w:rPr>
        <w:lastRenderedPageBreak/>
        <w:t>T</w:t>
      </w:r>
      <w:r>
        <w:rPr>
          <w:b/>
          <w:bCs/>
        </w:rPr>
        <w:t>able S</w:t>
      </w:r>
      <w:r w:rsidR="001E0254">
        <w:rPr>
          <w:b/>
          <w:bCs/>
        </w:rPr>
        <w:t>5</w:t>
      </w:r>
    </w:p>
    <w:p w14:paraId="4D6BB5CD" w14:textId="77777777" w:rsidR="0035031A" w:rsidRDefault="0035031A" w:rsidP="0035031A">
      <w:pPr>
        <w:pStyle w:val="ParaText"/>
        <w:spacing w:before="0" w:line="240" w:lineRule="auto"/>
        <w:ind w:firstLine="0"/>
      </w:pPr>
      <w:r>
        <w:t>Statistical significance from the analysis of covariance for cover crop treatment (T), site (S), the initial observation</w:t>
      </w:r>
      <w:r w:rsidDel="001C756D">
        <w:t xml:space="preserve"> </w:t>
      </w:r>
      <w:r>
        <w:t>of the response variable (IO), and their factorial interactions. Rows represent independent models for the response variable and fixed effects. Non-significant fixed effects were iteratively removed from the individual models until only significant factors remained.</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0"/>
        <w:gridCol w:w="997"/>
        <w:gridCol w:w="1012"/>
        <w:gridCol w:w="998"/>
        <w:gridCol w:w="998"/>
        <w:gridCol w:w="998"/>
        <w:gridCol w:w="1297"/>
      </w:tblGrid>
      <w:tr w:rsidR="0035031A" w:rsidRPr="00B17730" w14:paraId="6D15CFFB" w14:textId="77777777" w:rsidTr="00D30CC1">
        <w:trPr>
          <w:trHeight w:val="360"/>
        </w:trPr>
        <w:tc>
          <w:tcPr>
            <w:tcW w:w="2340" w:type="dxa"/>
            <w:tcBorders>
              <w:top w:val="single" w:sz="12" w:space="0" w:color="auto"/>
              <w:right w:val="single" w:sz="6" w:space="0" w:color="BFBFBF" w:themeColor="background1" w:themeShade="BF"/>
            </w:tcBorders>
            <w:shd w:val="clear" w:color="auto" w:fill="auto"/>
            <w:noWrap/>
          </w:tcPr>
          <w:p w14:paraId="382A5689" w14:textId="77777777" w:rsidR="0035031A" w:rsidRPr="008A7B87" w:rsidRDefault="0035031A" w:rsidP="00D30CC1">
            <w:pPr>
              <w:pStyle w:val="TableHead"/>
            </w:pPr>
            <w:r>
              <w:t xml:space="preserve">Response </w:t>
            </w:r>
            <w:r w:rsidRPr="00AD3568">
              <w:t>Variable</w:t>
            </w:r>
          </w:p>
        </w:tc>
        <w:tc>
          <w:tcPr>
            <w:tcW w:w="7020" w:type="dxa"/>
            <w:gridSpan w:val="7"/>
            <w:tcBorders>
              <w:top w:val="single" w:sz="12" w:space="0" w:color="auto"/>
              <w:left w:val="single" w:sz="6" w:space="0" w:color="BFBFBF" w:themeColor="background1" w:themeShade="BF"/>
              <w:bottom w:val="single" w:sz="8" w:space="0" w:color="auto"/>
            </w:tcBorders>
            <w:shd w:val="clear" w:color="auto" w:fill="auto"/>
            <w:noWrap/>
          </w:tcPr>
          <w:p w14:paraId="4B46902C" w14:textId="77777777" w:rsidR="0035031A" w:rsidRPr="003263BE" w:rsidRDefault="0035031A" w:rsidP="00D30CC1">
            <w:pPr>
              <w:pStyle w:val="TableHead"/>
            </w:pPr>
            <w:r>
              <w:t>Fixed Effects</w:t>
            </w:r>
          </w:p>
        </w:tc>
      </w:tr>
      <w:tr w:rsidR="0035031A" w:rsidRPr="00B17730" w14:paraId="498EA3C8" w14:textId="77777777" w:rsidTr="00D30CC1">
        <w:trPr>
          <w:trHeight w:val="270"/>
        </w:trPr>
        <w:tc>
          <w:tcPr>
            <w:tcW w:w="2340" w:type="dxa"/>
            <w:shd w:val="clear" w:color="auto" w:fill="auto"/>
            <w:noWrap/>
            <w:hideMark/>
          </w:tcPr>
          <w:p w14:paraId="78D8D4E1" w14:textId="77777777" w:rsidR="0035031A" w:rsidRPr="008A7B87" w:rsidRDefault="0035031A" w:rsidP="00D30CC1">
            <w:pPr>
              <w:pStyle w:val="TableHead"/>
            </w:pPr>
          </w:p>
        </w:tc>
        <w:tc>
          <w:tcPr>
            <w:tcW w:w="720" w:type="dxa"/>
            <w:tcBorders>
              <w:top w:val="single" w:sz="8" w:space="0" w:color="auto"/>
            </w:tcBorders>
            <w:shd w:val="clear" w:color="auto" w:fill="auto"/>
            <w:noWrap/>
            <w:hideMark/>
          </w:tcPr>
          <w:p w14:paraId="316BAFF4" w14:textId="77777777" w:rsidR="0035031A" w:rsidRPr="003263BE" w:rsidRDefault="0035031A" w:rsidP="00D30CC1">
            <w:pPr>
              <w:pStyle w:val="TableHead"/>
            </w:pPr>
            <w:r>
              <w:t>T</w:t>
            </w:r>
          </w:p>
        </w:tc>
        <w:tc>
          <w:tcPr>
            <w:tcW w:w="997" w:type="dxa"/>
            <w:tcBorders>
              <w:top w:val="single" w:sz="8" w:space="0" w:color="auto"/>
            </w:tcBorders>
            <w:shd w:val="clear" w:color="auto" w:fill="auto"/>
            <w:noWrap/>
            <w:hideMark/>
          </w:tcPr>
          <w:p w14:paraId="0B49F2FE" w14:textId="77777777" w:rsidR="0035031A" w:rsidRPr="003263BE" w:rsidRDefault="0035031A" w:rsidP="00D30CC1">
            <w:pPr>
              <w:pStyle w:val="TableHead"/>
            </w:pPr>
            <w:r>
              <w:t>S</w:t>
            </w:r>
          </w:p>
        </w:tc>
        <w:tc>
          <w:tcPr>
            <w:tcW w:w="1012" w:type="dxa"/>
            <w:tcBorders>
              <w:top w:val="single" w:sz="8" w:space="0" w:color="auto"/>
            </w:tcBorders>
            <w:shd w:val="clear" w:color="auto" w:fill="auto"/>
            <w:noWrap/>
            <w:hideMark/>
          </w:tcPr>
          <w:p w14:paraId="2EFBBB76" w14:textId="77777777" w:rsidR="0035031A" w:rsidRPr="003263BE" w:rsidRDefault="0035031A" w:rsidP="00D30CC1">
            <w:pPr>
              <w:pStyle w:val="TableHead"/>
            </w:pPr>
            <w:r>
              <w:t>IO</w:t>
            </w:r>
          </w:p>
        </w:tc>
        <w:tc>
          <w:tcPr>
            <w:tcW w:w="998" w:type="dxa"/>
            <w:tcBorders>
              <w:top w:val="single" w:sz="8" w:space="0" w:color="auto"/>
            </w:tcBorders>
            <w:shd w:val="clear" w:color="auto" w:fill="auto"/>
            <w:noWrap/>
            <w:hideMark/>
          </w:tcPr>
          <w:p w14:paraId="0A5378C2" w14:textId="77777777" w:rsidR="0035031A" w:rsidRPr="003263BE" w:rsidRDefault="0035031A" w:rsidP="00D30CC1">
            <w:pPr>
              <w:pStyle w:val="TableHead"/>
            </w:pPr>
            <w:r w:rsidRPr="003263BE">
              <w:t xml:space="preserve">T x </w:t>
            </w:r>
            <w:r>
              <w:t>S</w:t>
            </w:r>
          </w:p>
        </w:tc>
        <w:tc>
          <w:tcPr>
            <w:tcW w:w="998" w:type="dxa"/>
            <w:tcBorders>
              <w:top w:val="single" w:sz="8" w:space="0" w:color="auto"/>
            </w:tcBorders>
            <w:shd w:val="clear" w:color="auto" w:fill="auto"/>
            <w:noWrap/>
            <w:hideMark/>
          </w:tcPr>
          <w:p w14:paraId="3F4C6A9E" w14:textId="77777777" w:rsidR="0035031A" w:rsidRPr="003263BE" w:rsidRDefault="0035031A" w:rsidP="00D30CC1">
            <w:pPr>
              <w:pStyle w:val="TableHead"/>
            </w:pPr>
            <w:r w:rsidRPr="003263BE">
              <w:t xml:space="preserve">T x </w:t>
            </w:r>
            <w:r>
              <w:t>IO</w:t>
            </w:r>
          </w:p>
        </w:tc>
        <w:tc>
          <w:tcPr>
            <w:tcW w:w="998" w:type="dxa"/>
            <w:tcBorders>
              <w:top w:val="single" w:sz="8" w:space="0" w:color="auto"/>
            </w:tcBorders>
            <w:shd w:val="clear" w:color="auto" w:fill="auto"/>
            <w:noWrap/>
            <w:hideMark/>
          </w:tcPr>
          <w:p w14:paraId="71A2F574" w14:textId="77777777" w:rsidR="0035031A" w:rsidRPr="003263BE" w:rsidRDefault="0035031A" w:rsidP="00D30CC1">
            <w:pPr>
              <w:pStyle w:val="TableHead"/>
            </w:pPr>
            <w:r>
              <w:t>S</w:t>
            </w:r>
            <w:r w:rsidRPr="003263BE">
              <w:t xml:space="preserve"> x </w:t>
            </w:r>
            <w:r>
              <w:t>IO</w:t>
            </w:r>
          </w:p>
        </w:tc>
        <w:tc>
          <w:tcPr>
            <w:tcW w:w="1297" w:type="dxa"/>
            <w:tcBorders>
              <w:top w:val="single" w:sz="8" w:space="0" w:color="auto"/>
            </w:tcBorders>
            <w:shd w:val="clear" w:color="auto" w:fill="auto"/>
            <w:noWrap/>
            <w:hideMark/>
          </w:tcPr>
          <w:p w14:paraId="13AF5CFA" w14:textId="77777777" w:rsidR="0035031A" w:rsidRPr="003263BE" w:rsidRDefault="0035031A" w:rsidP="00D30CC1">
            <w:pPr>
              <w:pStyle w:val="TableHead"/>
              <w:ind w:right="-36"/>
            </w:pPr>
            <w:r w:rsidRPr="003263BE">
              <w:t xml:space="preserve">T x </w:t>
            </w:r>
            <w:r>
              <w:t>S</w:t>
            </w:r>
            <w:r w:rsidRPr="003263BE">
              <w:t xml:space="preserve"> x </w:t>
            </w:r>
            <w:r>
              <w:t>IO</w:t>
            </w:r>
          </w:p>
        </w:tc>
      </w:tr>
      <w:tr w:rsidR="0035031A" w:rsidRPr="00B17730" w14:paraId="6DADEF95" w14:textId="77777777" w:rsidTr="00D30CC1">
        <w:trPr>
          <w:trHeight w:val="320"/>
        </w:trPr>
        <w:tc>
          <w:tcPr>
            <w:tcW w:w="2340" w:type="dxa"/>
            <w:tcBorders>
              <w:bottom w:val="single" w:sz="8" w:space="0" w:color="auto"/>
              <w:right w:val="single" w:sz="6" w:space="0" w:color="BFBFBF" w:themeColor="background1" w:themeShade="BF"/>
            </w:tcBorders>
            <w:shd w:val="clear" w:color="auto" w:fill="auto"/>
            <w:noWrap/>
          </w:tcPr>
          <w:p w14:paraId="002E1C02" w14:textId="77777777" w:rsidR="0035031A" w:rsidRPr="0026112C" w:rsidRDefault="0035031A" w:rsidP="00D30CC1">
            <w:pPr>
              <w:pStyle w:val="TableHead"/>
              <w:rPr>
                <w:vertAlign w:val="superscript"/>
              </w:rPr>
            </w:pPr>
          </w:p>
        </w:tc>
        <w:tc>
          <w:tcPr>
            <w:tcW w:w="7020" w:type="dxa"/>
            <w:gridSpan w:val="7"/>
            <w:tcBorders>
              <w:left w:val="single" w:sz="6" w:space="0" w:color="BFBFBF" w:themeColor="background1" w:themeShade="BF"/>
              <w:bottom w:val="single" w:sz="8" w:space="0" w:color="auto"/>
            </w:tcBorders>
            <w:shd w:val="clear" w:color="auto" w:fill="auto"/>
            <w:noWrap/>
            <w:hideMark/>
          </w:tcPr>
          <w:p w14:paraId="03F51EDE" w14:textId="77777777" w:rsidR="0035031A" w:rsidRPr="003263BE" w:rsidRDefault="0035031A" w:rsidP="00D30CC1">
            <w:pPr>
              <w:pStyle w:val="TableHead"/>
            </w:pPr>
            <w:r w:rsidRPr="003263BE">
              <w:t>Statistical Significance</w:t>
            </w:r>
            <w:r>
              <w:t>†</w:t>
            </w:r>
          </w:p>
        </w:tc>
      </w:tr>
      <w:tr w:rsidR="0035031A" w:rsidRPr="00B17730" w14:paraId="5EDE4F3A" w14:textId="77777777" w:rsidTr="00D30CC1">
        <w:trPr>
          <w:trHeight w:val="320"/>
        </w:trPr>
        <w:tc>
          <w:tcPr>
            <w:tcW w:w="2340" w:type="dxa"/>
            <w:tcBorders>
              <w:top w:val="single" w:sz="8" w:space="0" w:color="auto"/>
            </w:tcBorders>
            <w:shd w:val="clear" w:color="auto" w:fill="auto"/>
            <w:noWrap/>
            <w:hideMark/>
          </w:tcPr>
          <w:p w14:paraId="44CD1389" w14:textId="77777777" w:rsidR="0035031A" w:rsidRPr="00FF64DB" w:rsidRDefault="0035031A" w:rsidP="00D30CC1">
            <w:pPr>
              <w:pStyle w:val="TableBody"/>
              <w:rPr>
                <w:i/>
                <w:iCs/>
                <w:sz w:val="22"/>
                <w:szCs w:val="22"/>
              </w:rPr>
            </w:pPr>
            <w:r w:rsidRPr="00FF64DB">
              <w:rPr>
                <w:i/>
                <w:iCs/>
                <w:sz w:val="22"/>
                <w:szCs w:val="22"/>
              </w:rPr>
              <w:t>Soil health indicators</w:t>
            </w:r>
          </w:p>
        </w:tc>
        <w:tc>
          <w:tcPr>
            <w:tcW w:w="720" w:type="dxa"/>
            <w:tcBorders>
              <w:top w:val="single" w:sz="8" w:space="0" w:color="auto"/>
            </w:tcBorders>
            <w:shd w:val="clear" w:color="auto" w:fill="auto"/>
            <w:noWrap/>
            <w:hideMark/>
          </w:tcPr>
          <w:p w14:paraId="0A7351C1" w14:textId="77777777" w:rsidR="0035031A" w:rsidRPr="001928EA" w:rsidRDefault="0035031A" w:rsidP="00D30CC1">
            <w:pPr>
              <w:pStyle w:val="TableBody"/>
              <w:rPr>
                <w:sz w:val="22"/>
                <w:szCs w:val="22"/>
              </w:rPr>
            </w:pPr>
          </w:p>
        </w:tc>
        <w:tc>
          <w:tcPr>
            <w:tcW w:w="997" w:type="dxa"/>
            <w:tcBorders>
              <w:top w:val="single" w:sz="8" w:space="0" w:color="auto"/>
            </w:tcBorders>
            <w:shd w:val="clear" w:color="auto" w:fill="auto"/>
            <w:noWrap/>
            <w:hideMark/>
          </w:tcPr>
          <w:p w14:paraId="05140A92" w14:textId="77777777" w:rsidR="0035031A" w:rsidRPr="001928EA" w:rsidRDefault="0035031A" w:rsidP="00D30CC1">
            <w:pPr>
              <w:pStyle w:val="TableBody"/>
              <w:rPr>
                <w:sz w:val="22"/>
                <w:szCs w:val="22"/>
              </w:rPr>
            </w:pPr>
          </w:p>
        </w:tc>
        <w:tc>
          <w:tcPr>
            <w:tcW w:w="1012" w:type="dxa"/>
            <w:tcBorders>
              <w:top w:val="single" w:sz="8" w:space="0" w:color="auto"/>
            </w:tcBorders>
            <w:shd w:val="clear" w:color="auto" w:fill="auto"/>
            <w:noWrap/>
            <w:hideMark/>
          </w:tcPr>
          <w:p w14:paraId="6CE63204" w14:textId="77777777" w:rsidR="0035031A" w:rsidRPr="001928EA" w:rsidRDefault="0035031A" w:rsidP="00D30CC1">
            <w:pPr>
              <w:pStyle w:val="TableBody"/>
              <w:rPr>
                <w:sz w:val="22"/>
                <w:szCs w:val="22"/>
              </w:rPr>
            </w:pPr>
          </w:p>
        </w:tc>
        <w:tc>
          <w:tcPr>
            <w:tcW w:w="998" w:type="dxa"/>
            <w:tcBorders>
              <w:top w:val="single" w:sz="8" w:space="0" w:color="auto"/>
            </w:tcBorders>
            <w:shd w:val="clear" w:color="auto" w:fill="auto"/>
            <w:noWrap/>
            <w:hideMark/>
          </w:tcPr>
          <w:p w14:paraId="5619BF62" w14:textId="77777777" w:rsidR="0035031A" w:rsidRPr="001928EA" w:rsidRDefault="0035031A" w:rsidP="00D30CC1">
            <w:pPr>
              <w:pStyle w:val="TableBody"/>
              <w:rPr>
                <w:sz w:val="22"/>
                <w:szCs w:val="22"/>
              </w:rPr>
            </w:pPr>
          </w:p>
        </w:tc>
        <w:tc>
          <w:tcPr>
            <w:tcW w:w="998" w:type="dxa"/>
            <w:tcBorders>
              <w:top w:val="single" w:sz="8" w:space="0" w:color="auto"/>
            </w:tcBorders>
            <w:shd w:val="clear" w:color="auto" w:fill="auto"/>
            <w:noWrap/>
            <w:hideMark/>
          </w:tcPr>
          <w:p w14:paraId="34CFFD3A" w14:textId="77777777" w:rsidR="0035031A" w:rsidRPr="001928EA" w:rsidRDefault="0035031A" w:rsidP="00D30CC1">
            <w:pPr>
              <w:pStyle w:val="TableBody"/>
              <w:rPr>
                <w:sz w:val="22"/>
                <w:szCs w:val="22"/>
              </w:rPr>
            </w:pPr>
          </w:p>
        </w:tc>
        <w:tc>
          <w:tcPr>
            <w:tcW w:w="998" w:type="dxa"/>
            <w:tcBorders>
              <w:top w:val="single" w:sz="8" w:space="0" w:color="auto"/>
            </w:tcBorders>
            <w:shd w:val="clear" w:color="auto" w:fill="auto"/>
            <w:noWrap/>
            <w:hideMark/>
          </w:tcPr>
          <w:p w14:paraId="2A325FC1" w14:textId="77777777" w:rsidR="0035031A" w:rsidRPr="001928EA" w:rsidRDefault="0035031A" w:rsidP="00D30CC1">
            <w:pPr>
              <w:pStyle w:val="TableBody"/>
              <w:rPr>
                <w:sz w:val="22"/>
                <w:szCs w:val="22"/>
              </w:rPr>
            </w:pPr>
          </w:p>
        </w:tc>
        <w:tc>
          <w:tcPr>
            <w:tcW w:w="1297" w:type="dxa"/>
            <w:tcBorders>
              <w:top w:val="single" w:sz="8" w:space="0" w:color="auto"/>
            </w:tcBorders>
            <w:shd w:val="clear" w:color="auto" w:fill="auto"/>
            <w:noWrap/>
            <w:hideMark/>
          </w:tcPr>
          <w:p w14:paraId="6990461A" w14:textId="77777777" w:rsidR="0035031A" w:rsidRPr="001928EA" w:rsidRDefault="0035031A" w:rsidP="00D30CC1">
            <w:pPr>
              <w:pStyle w:val="TableBody"/>
              <w:rPr>
                <w:sz w:val="22"/>
                <w:szCs w:val="22"/>
              </w:rPr>
            </w:pPr>
          </w:p>
        </w:tc>
      </w:tr>
      <w:tr w:rsidR="0035031A" w:rsidRPr="00B17730" w14:paraId="09547C8E" w14:textId="77777777" w:rsidTr="00D30CC1">
        <w:trPr>
          <w:trHeight w:val="320"/>
        </w:trPr>
        <w:tc>
          <w:tcPr>
            <w:tcW w:w="2340" w:type="dxa"/>
            <w:shd w:val="clear" w:color="auto" w:fill="auto"/>
            <w:noWrap/>
            <w:hideMark/>
          </w:tcPr>
          <w:p w14:paraId="1192409C" w14:textId="77777777" w:rsidR="0035031A" w:rsidRPr="001928EA" w:rsidRDefault="0035031A" w:rsidP="00D30CC1">
            <w:pPr>
              <w:pStyle w:val="TableBody"/>
              <w:ind w:firstLine="343"/>
              <w:rPr>
                <w:sz w:val="22"/>
                <w:szCs w:val="22"/>
              </w:rPr>
            </w:pPr>
            <w:r w:rsidRPr="001928EA">
              <w:rPr>
                <w:sz w:val="22"/>
                <w:szCs w:val="22"/>
              </w:rPr>
              <w:t>OM</w:t>
            </w:r>
            <w:r>
              <w:rPr>
                <w:sz w:val="22"/>
                <w:szCs w:val="22"/>
              </w:rPr>
              <w:t>‡</w:t>
            </w:r>
          </w:p>
        </w:tc>
        <w:tc>
          <w:tcPr>
            <w:tcW w:w="720" w:type="dxa"/>
            <w:shd w:val="clear" w:color="auto" w:fill="auto"/>
            <w:noWrap/>
            <w:hideMark/>
          </w:tcPr>
          <w:p w14:paraId="32C560A9" w14:textId="77777777" w:rsidR="0035031A" w:rsidRPr="001928EA" w:rsidRDefault="0035031A" w:rsidP="00D30CC1">
            <w:pPr>
              <w:pStyle w:val="TableBody"/>
              <w:rPr>
                <w:sz w:val="22"/>
                <w:szCs w:val="22"/>
              </w:rPr>
            </w:pPr>
            <w:r>
              <w:rPr>
                <w:sz w:val="22"/>
                <w:szCs w:val="22"/>
              </w:rPr>
              <w:t>*</w:t>
            </w:r>
          </w:p>
        </w:tc>
        <w:tc>
          <w:tcPr>
            <w:tcW w:w="997" w:type="dxa"/>
            <w:shd w:val="clear" w:color="auto" w:fill="auto"/>
            <w:noWrap/>
            <w:hideMark/>
          </w:tcPr>
          <w:p w14:paraId="591A11E1" w14:textId="77777777" w:rsidR="0035031A" w:rsidRPr="001928EA" w:rsidRDefault="0035031A" w:rsidP="00D30CC1">
            <w:pPr>
              <w:pStyle w:val="TableBody"/>
              <w:jc w:val="center"/>
              <w:rPr>
                <w:sz w:val="22"/>
                <w:szCs w:val="22"/>
              </w:rPr>
            </w:pPr>
            <w:r w:rsidRPr="001928EA">
              <w:rPr>
                <w:sz w:val="22"/>
                <w:szCs w:val="22"/>
              </w:rPr>
              <w:t>***</w:t>
            </w:r>
          </w:p>
        </w:tc>
        <w:tc>
          <w:tcPr>
            <w:tcW w:w="1012" w:type="dxa"/>
            <w:shd w:val="clear" w:color="auto" w:fill="auto"/>
            <w:noWrap/>
            <w:hideMark/>
          </w:tcPr>
          <w:p w14:paraId="582CC073" w14:textId="77777777" w:rsidR="0035031A" w:rsidRPr="001928EA" w:rsidRDefault="0035031A" w:rsidP="00D30CC1">
            <w:pPr>
              <w:pStyle w:val="TableBody"/>
              <w:jc w:val="center"/>
              <w:rPr>
                <w:sz w:val="22"/>
                <w:szCs w:val="22"/>
              </w:rPr>
            </w:pPr>
            <w:r w:rsidRPr="001928EA">
              <w:rPr>
                <w:sz w:val="22"/>
                <w:szCs w:val="22"/>
              </w:rPr>
              <w:t>***</w:t>
            </w:r>
          </w:p>
        </w:tc>
        <w:tc>
          <w:tcPr>
            <w:tcW w:w="998" w:type="dxa"/>
            <w:shd w:val="clear" w:color="auto" w:fill="auto"/>
            <w:noWrap/>
            <w:hideMark/>
          </w:tcPr>
          <w:p w14:paraId="47DFE234" w14:textId="77777777" w:rsidR="0035031A" w:rsidRPr="001928EA" w:rsidRDefault="0035031A" w:rsidP="00D30CC1">
            <w:pPr>
              <w:pStyle w:val="TableBody"/>
              <w:jc w:val="center"/>
              <w:rPr>
                <w:sz w:val="22"/>
                <w:szCs w:val="22"/>
              </w:rPr>
            </w:pPr>
          </w:p>
        </w:tc>
        <w:tc>
          <w:tcPr>
            <w:tcW w:w="998" w:type="dxa"/>
            <w:shd w:val="clear" w:color="auto" w:fill="auto"/>
            <w:noWrap/>
            <w:hideMark/>
          </w:tcPr>
          <w:p w14:paraId="72F5CA57" w14:textId="77777777" w:rsidR="0035031A" w:rsidRPr="001928EA" w:rsidRDefault="0035031A" w:rsidP="00D30CC1">
            <w:pPr>
              <w:pStyle w:val="TableBody"/>
              <w:jc w:val="center"/>
              <w:rPr>
                <w:sz w:val="22"/>
                <w:szCs w:val="22"/>
              </w:rPr>
            </w:pPr>
          </w:p>
        </w:tc>
        <w:tc>
          <w:tcPr>
            <w:tcW w:w="998" w:type="dxa"/>
            <w:shd w:val="clear" w:color="auto" w:fill="auto"/>
            <w:noWrap/>
            <w:hideMark/>
          </w:tcPr>
          <w:p w14:paraId="5A60698F" w14:textId="77777777" w:rsidR="0035031A" w:rsidRPr="001928EA" w:rsidRDefault="0035031A" w:rsidP="00D30CC1">
            <w:pPr>
              <w:pStyle w:val="TableBody"/>
              <w:jc w:val="center"/>
              <w:rPr>
                <w:sz w:val="22"/>
                <w:szCs w:val="22"/>
              </w:rPr>
            </w:pPr>
            <w:r w:rsidRPr="001928EA">
              <w:rPr>
                <w:sz w:val="22"/>
                <w:szCs w:val="22"/>
              </w:rPr>
              <w:t>*</w:t>
            </w:r>
            <w:r>
              <w:rPr>
                <w:sz w:val="22"/>
                <w:szCs w:val="22"/>
              </w:rPr>
              <w:t>**</w:t>
            </w:r>
          </w:p>
        </w:tc>
        <w:tc>
          <w:tcPr>
            <w:tcW w:w="1297" w:type="dxa"/>
            <w:shd w:val="clear" w:color="auto" w:fill="auto"/>
            <w:noWrap/>
            <w:hideMark/>
          </w:tcPr>
          <w:p w14:paraId="3FBE79D3" w14:textId="77777777" w:rsidR="0035031A" w:rsidRPr="001928EA" w:rsidRDefault="0035031A" w:rsidP="00D30CC1">
            <w:pPr>
              <w:pStyle w:val="TableBody"/>
              <w:jc w:val="center"/>
              <w:rPr>
                <w:sz w:val="22"/>
                <w:szCs w:val="22"/>
              </w:rPr>
            </w:pPr>
          </w:p>
        </w:tc>
      </w:tr>
      <w:tr w:rsidR="0035031A" w:rsidRPr="00B17730" w14:paraId="65D826C1" w14:textId="77777777" w:rsidTr="00D30CC1">
        <w:trPr>
          <w:trHeight w:val="320"/>
        </w:trPr>
        <w:tc>
          <w:tcPr>
            <w:tcW w:w="2340" w:type="dxa"/>
            <w:shd w:val="clear" w:color="auto" w:fill="auto"/>
            <w:noWrap/>
            <w:hideMark/>
          </w:tcPr>
          <w:p w14:paraId="093B1274" w14:textId="77777777" w:rsidR="0035031A" w:rsidRPr="001928EA" w:rsidRDefault="0035031A" w:rsidP="00D30CC1">
            <w:pPr>
              <w:pStyle w:val="TableBody"/>
              <w:ind w:firstLine="343"/>
              <w:rPr>
                <w:sz w:val="22"/>
                <w:szCs w:val="22"/>
              </w:rPr>
            </w:pPr>
            <w:r w:rsidRPr="00D74DF4">
              <w:rPr>
                <w:sz w:val="22"/>
                <w:szCs w:val="22"/>
              </w:rPr>
              <w:t>POX-</w:t>
            </w:r>
            <w:r w:rsidRPr="001928EA">
              <w:rPr>
                <w:sz w:val="22"/>
                <w:szCs w:val="22"/>
              </w:rPr>
              <w:t>C</w:t>
            </w:r>
          </w:p>
        </w:tc>
        <w:tc>
          <w:tcPr>
            <w:tcW w:w="720" w:type="dxa"/>
            <w:shd w:val="clear" w:color="auto" w:fill="auto"/>
            <w:noWrap/>
            <w:hideMark/>
          </w:tcPr>
          <w:p w14:paraId="3A3FAED4" w14:textId="77777777" w:rsidR="0035031A" w:rsidRPr="001928EA" w:rsidRDefault="0035031A" w:rsidP="00D30CC1">
            <w:pPr>
              <w:pStyle w:val="TableBody"/>
              <w:rPr>
                <w:sz w:val="22"/>
                <w:szCs w:val="22"/>
              </w:rPr>
            </w:pPr>
            <w:r>
              <w:rPr>
                <w:sz w:val="22"/>
                <w:szCs w:val="22"/>
              </w:rPr>
              <w:t>*</w:t>
            </w:r>
          </w:p>
        </w:tc>
        <w:tc>
          <w:tcPr>
            <w:tcW w:w="997" w:type="dxa"/>
            <w:shd w:val="clear" w:color="auto" w:fill="auto"/>
            <w:noWrap/>
            <w:hideMark/>
          </w:tcPr>
          <w:p w14:paraId="3822C7D1" w14:textId="77777777" w:rsidR="0035031A" w:rsidRPr="001928EA" w:rsidRDefault="0035031A" w:rsidP="00D30CC1">
            <w:pPr>
              <w:pStyle w:val="TableBody"/>
              <w:jc w:val="center"/>
              <w:rPr>
                <w:sz w:val="22"/>
                <w:szCs w:val="22"/>
              </w:rPr>
            </w:pPr>
            <w:r>
              <w:rPr>
                <w:sz w:val="22"/>
                <w:szCs w:val="22"/>
              </w:rPr>
              <w:t>***</w:t>
            </w:r>
          </w:p>
        </w:tc>
        <w:tc>
          <w:tcPr>
            <w:tcW w:w="1012" w:type="dxa"/>
            <w:shd w:val="clear" w:color="auto" w:fill="auto"/>
            <w:noWrap/>
            <w:hideMark/>
          </w:tcPr>
          <w:p w14:paraId="29587DBC" w14:textId="77777777" w:rsidR="0035031A" w:rsidRPr="001928EA" w:rsidRDefault="0035031A" w:rsidP="00D30CC1">
            <w:pPr>
              <w:pStyle w:val="TableBody"/>
              <w:jc w:val="center"/>
              <w:rPr>
                <w:sz w:val="22"/>
                <w:szCs w:val="22"/>
              </w:rPr>
            </w:pPr>
            <w:r w:rsidRPr="001928EA">
              <w:rPr>
                <w:sz w:val="22"/>
                <w:szCs w:val="22"/>
              </w:rPr>
              <w:t>***</w:t>
            </w:r>
          </w:p>
        </w:tc>
        <w:tc>
          <w:tcPr>
            <w:tcW w:w="998" w:type="dxa"/>
            <w:shd w:val="clear" w:color="auto" w:fill="auto"/>
            <w:noWrap/>
            <w:hideMark/>
          </w:tcPr>
          <w:p w14:paraId="42DC62D9" w14:textId="77777777" w:rsidR="0035031A" w:rsidRPr="001928EA" w:rsidRDefault="0035031A" w:rsidP="00D30CC1">
            <w:pPr>
              <w:pStyle w:val="TableBody"/>
              <w:jc w:val="center"/>
              <w:rPr>
                <w:sz w:val="22"/>
                <w:szCs w:val="22"/>
              </w:rPr>
            </w:pPr>
          </w:p>
        </w:tc>
        <w:tc>
          <w:tcPr>
            <w:tcW w:w="998" w:type="dxa"/>
            <w:shd w:val="clear" w:color="auto" w:fill="auto"/>
            <w:noWrap/>
            <w:hideMark/>
          </w:tcPr>
          <w:p w14:paraId="1BC8F899" w14:textId="77777777" w:rsidR="0035031A" w:rsidRPr="001928EA" w:rsidRDefault="0035031A" w:rsidP="00D30CC1">
            <w:pPr>
              <w:pStyle w:val="TableBody"/>
              <w:jc w:val="center"/>
              <w:rPr>
                <w:sz w:val="22"/>
                <w:szCs w:val="22"/>
              </w:rPr>
            </w:pPr>
          </w:p>
        </w:tc>
        <w:tc>
          <w:tcPr>
            <w:tcW w:w="998" w:type="dxa"/>
            <w:shd w:val="clear" w:color="auto" w:fill="auto"/>
            <w:noWrap/>
            <w:hideMark/>
          </w:tcPr>
          <w:p w14:paraId="07F5D04A" w14:textId="77777777" w:rsidR="0035031A" w:rsidRPr="001928EA" w:rsidRDefault="0035031A" w:rsidP="00D30CC1">
            <w:pPr>
              <w:pStyle w:val="TableBody"/>
              <w:jc w:val="center"/>
              <w:rPr>
                <w:sz w:val="22"/>
                <w:szCs w:val="22"/>
              </w:rPr>
            </w:pPr>
          </w:p>
        </w:tc>
        <w:tc>
          <w:tcPr>
            <w:tcW w:w="1297" w:type="dxa"/>
            <w:shd w:val="clear" w:color="auto" w:fill="auto"/>
            <w:noWrap/>
            <w:hideMark/>
          </w:tcPr>
          <w:p w14:paraId="7C445E07" w14:textId="77777777" w:rsidR="0035031A" w:rsidRPr="001928EA" w:rsidRDefault="0035031A" w:rsidP="00D30CC1">
            <w:pPr>
              <w:pStyle w:val="TableBody"/>
              <w:jc w:val="center"/>
              <w:rPr>
                <w:sz w:val="22"/>
                <w:szCs w:val="22"/>
              </w:rPr>
            </w:pPr>
          </w:p>
        </w:tc>
      </w:tr>
      <w:tr w:rsidR="0035031A" w:rsidRPr="00B17730" w14:paraId="3A429DAC" w14:textId="77777777" w:rsidTr="00D30CC1">
        <w:trPr>
          <w:trHeight w:val="320"/>
        </w:trPr>
        <w:tc>
          <w:tcPr>
            <w:tcW w:w="2340" w:type="dxa"/>
            <w:shd w:val="clear" w:color="auto" w:fill="auto"/>
            <w:noWrap/>
            <w:hideMark/>
          </w:tcPr>
          <w:p w14:paraId="3053AFD4" w14:textId="77777777" w:rsidR="0035031A" w:rsidRPr="001928EA" w:rsidRDefault="0035031A" w:rsidP="00D30CC1">
            <w:pPr>
              <w:pStyle w:val="TableBody"/>
              <w:ind w:firstLine="343"/>
              <w:rPr>
                <w:sz w:val="22"/>
                <w:szCs w:val="22"/>
              </w:rPr>
            </w:pPr>
            <w:r w:rsidRPr="001928EA">
              <w:rPr>
                <w:sz w:val="22"/>
                <w:szCs w:val="22"/>
              </w:rPr>
              <w:t>ACE</w:t>
            </w:r>
          </w:p>
        </w:tc>
        <w:tc>
          <w:tcPr>
            <w:tcW w:w="720" w:type="dxa"/>
            <w:shd w:val="clear" w:color="auto" w:fill="auto"/>
            <w:noWrap/>
            <w:hideMark/>
          </w:tcPr>
          <w:p w14:paraId="158D1935" w14:textId="77777777" w:rsidR="0035031A" w:rsidRPr="001928EA" w:rsidRDefault="0035031A" w:rsidP="00D30CC1">
            <w:pPr>
              <w:pStyle w:val="TableBody"/>
              <w:rPr>
                <w:sz w:val="22"/>
                <w:szCs w:val="22"/>
              </w:rPr>
            </w:pPr>
          </w:p>
        </w:tc>
        <w:tc>
          <w:tcPr>
            <w:tcW w:w="997" w:type="dxa"/>
            <w:shd w:val="clear" w:color="auto" w:fill="auto"/>
            <w:noWrap/>
            <w:hideMark/>
          </w:tcPr>
          <w:p w14:paraId="610CBAC7" w14:textId="77777777" w:rsidR="0035031A" w:rsidRPr="001928EA" w:rsidRDefault="0035031A" w:rsidP="00D30CC1">
            <w:pPr>
              <w:pStyle w:val="TableBody"/>
              <w:jc w:val="center"/>
              <w:rPr>
                <w:sz w:val="22"/>
                <w:szCs w:val="22"/>
              </w:rPr>
            </w:pPr>
            <w:r>
              <w:rPr>
                <w:sz w:val="22"/>
                <w:szCs w:val="22"/>
              </w:rPr>
              <w:t>***</w:t>
            </w:r>
          </w:p>
        </w:tc>
        <w:tc>
          <w:tcPr>
            <w:tcW w:w="1012" w:type="dxa"/>
            <w:shd w:val="clear" w:color="auto" w:fill="auto"/>
            <w:noWrap/>
            <w:hideMark/>
          </w:tcPr>
          <w:p w14:paraId="40664ACC" w14:textId="77777777" w:rsidR="0035031A" w:rsidRPr="001928EA" w:rsidRDefault="0035031A" w:rsidP="00D30CC1">
            <w:pPr>
              <w:pStyle w:val="TableBody"/>
              <w:jc w:val="center"/>
              <w:rPr>
                <w:sz w:val="22"/>
                <w:szCs w:val="22"/>
              </w:rPr>
            </w:pPr>
            <w:r w:rsidRPr="001928EA">
              <w:rPr>
                <w:sz w:val="22"/>
                <w:szCs w:val="22"/>
              </w:rPr>
              <w:t>***</w:t>
            </w:r>
          </w:p>
        </w:tc>
        <w:tc>
          <w:tcPr>
            <w:tcW w:w="998" w:type="dxa"/>
            <w:shd w:val="clear" w:color="auto" w:fill="auto"/>
            <w:noWrap/>
            <w:hideMark/>
          </w:tcPr>
          <w:p w14:paraId="2F503A2B" w14:textId="77777777" w:rsidR="0035031A" w:rsidRPr="001928EA" w:rsidRDefault="0035031A" w:rsidP="00D30CC1">
            <w:pPr>
              <w:pStyle w:val="TableBody"/>
              <w:jc w:val="center"/>
              <w:rPr>
                <w:sz w:val="22"/>
                <w:szCs w:val="22"/>
              </w:rPr>
            </w:pPr>
          </w:p>
        </w:tc>
        <w:tc>
          <w:tcPr>
            <w:tcW w:w="998" w:type="dxa"/>
            <w:shd w:val="clear" w:color="auto" w:fill="auto"/>
            <w:noWrap/>
            <w:hideMark/>
          </w:tcPr>
          <w:p w14:paraId="33D45718" w14:textId="77777777" w:rsidR="0035031A" w:rsidRPr="001928EA" w:rsidRDefault="0035031A" w:rsidP="00D30CC1">
            <w:pPr>
              <w:pStyle w:val="TableBody"/>
              <w:jc w:val="center"/>
              <w:rPr>
                <w:sz w:val="22"/>
                <w:szCs w:val="22"/>
              </w:rPr>
            </w:pPr>
          </w:p>
        </w:tc>
        <w:tc>
          <w:tcPr>
            <w:tcW w:w="998" w:type="dxa"/>
            <w:shd w:val="clear" w:color="auto" w:fill="auto"/>
            <w:noWrap/>
            <w:hideMark/>
          </w:tcPr>
          <w:p w14:paraId="741DF487" w14:textId="77777777" w:rsidR="0035031A" w:rsidRPr="001928EA" w:rsidRDefault="0035031A" w:rsidP="00D30CC1">
            <w:pPr>
              <w:pStyle w:val="TableBody"/>
              <w:jc w:val="center"/>
              <w:rPr>
                <w:sz w:val="22"/>
                <w:szCs w:val="22"/>
              </w:rPr>
            </w:pPr>
          </w:p>
        </w:tc>
        <w:tc>
          <w:tcPr>
            <w:tcW w:w="1297" w:type="dxa"/>
            <w:shd w:val="clear" w:color="auto" w:fill="auto"/>
            <w:noWrap/>
            <w:hideMark/>
          </w:tcPr>
          <w:p w14:paraId="3C3AE3D1" w14:textId="77777777" w:rsidR="0035031A" w:rsidRPr="001928EA" w:rsidRDefault="0035031A" w:rsidP="00D30CC1">
            <w:pPr>
              <w:pStyle w:val="TableBody"/>
              <w:jc w:val="center"/>
              <w:rPr>
                <w:sz w:val="22"/>
                <w:szCs w:val="22"/>
              </w:rPr>
            </w:pPr>
          </w:p>
        </w:tc>
      </w:tr>
      <w:tr w:rsidR="0035031A" w:rsidRPr="00B17730" w14:paraId="66F6B56B" w14:textId="77777777" w:rsidTr="00D30CC1">
        <w:trPr>
          <w:trHeight w:val="320"/>
        </w:trPr>
        <w:tc>
          <w:tcPr>
            <w:tcW w:w="2340" w:type="dxa"/>
            <w:shd w:val="clear" w:color="auto" w:fill="auto"/>
            <w:noWrap/>
            <w:hideMark/>
          </w:tcPr>
          <w:p w14:paraId="28A793AC" w14:textId="77777777" w:rsidR="0035031A" w:rsidRPr="001928EA" w:rsidRDefault="0035031A" w:rsidP="00D30CC1">
            <w:pPr>
              <w:pStyle w:val="TableBody"/>
              <w:ind w:firstLine="343"/>
              <w:rPr>
                <w:sz w:val="22"/>
                <w:szCs w:val="22"/>
              </w:rPr>
            </w:pPr>
            <w:r w:rsidRPr="001928EA">
              <w:rPr>
                <w:sz w:val="22"/>
                <w:szCs w:val="22"/>
              </w:rPr>
              <w:t>Resp 96</w:t>
            </w:r>
          </w:p>
        </w:tc>
        <w:tc>
          <w:tcPr>
            <w:tcW w:w="720" w:type="dxa"/>
            <w:shd w:val="clear" w:color="auto" w:fill="auto"/>
            <w:noWrap/>
            <w:hideMark/>
          </w:tcPr>
          <w:p w14:paraId="3FD8EC33" w14:textId="77777777" w:rsidR="0035031A" w:rsidRPr="001928EA" w:rsidRDefault="0035031A" w:rsidP="00D30CC1">
            <w:pPr>
              <w:pStyle w:val="TableBody"/>
              <w:rPr>
                <w:sz w:val="22"/>
                <w:szCs w:val="22"/>
              </w:rPr>
            </w:pPr>
            <w:r>
              <w:rPr>
                <w:sz w:val="22"/>
                <w:szCs w:val="22"/>
              </w:rPr>
              <w:t>**</w:t>
            </w:r>
          </w:p>
        </w:tc>
        <w:tc>
          <w:tcPr>
            <w:tcW w:w="997" w:type="dxa"/>
            <w:shd w:val="clear" w:color="auto" w:fill="auto"/>
            <w:noWrap/>
            <w:hideMark/>
          </w:tcPr>
          <w:p w14:paraId="7FEA3BA3" w14:textId="77777777" w:rsidR="0035031A" w:rsidRPr="001928EA" w:rsidRDefault="0035031A" w:rsidP="00D30CC1">
            <w:pPr>
              <w:pStyle w:val="TableBody"/>
              <w:jc w:val="center"/>
              <w:rPr>
                <w:sz w:val="22"/>
                <w:szCs w:val="22"/>
              </w:rPr>
            </w:pPr>
            <w:r>
              <w:rPr>
                <w:sz w:val="22"/>
                <w:szCs w:val="22"/>
              </w:rPr>
              <w:t>***</w:t>
            </w:r>
          </w:p>
        </w:tc>
        <w:tc>
          <w:tcPr>
            <w:tcW w:w="1012" w:type="dxa"/>
            <w:shd w:val="clear" w:color="auto" w:fill="auto"/>
            <w:noWrap/>
            <w:hideMark/>
          </w:tcPr>
          <w:p w14:paraId="57FED79F" w14:textId="77777777" w:rsidR="0035031A" w:rsidRPr="001928EA" w:rsidRDefault="0035031A" w:rsidP="00D30CC1">
            <w:pPr>
              <w:pStyle w:val="TableBody"/>
              <w:jc w:val="center"/>
              <w:rPr>
                <w:sz w:val="22"/>
                <w:szCs w:val="22"/>
              </w:rPr>
            </w:pPr>
          </w:p>
        </w:tc>
        <w:tc>
          <w:tcPr>
            <w:tcW w:w="998" w:type="dxa"/>
            <w:shd w:val="clear" w:color="auto" w:fill="auto"/>
            <w:noWrap/>
            <w:hideMark/>
          </w:tcPr>
          <w:p w14:paraId="66A2CEE5" w14:textId="77777777" w:rsidR="0035031A" w:rsidRPr="001928EA" w:rsidRDefault="0035031A" w:rsidP="00D30CC1">
            <w:pPr>
              <w:pStyle w:val="TableBody"/>
              <w:jc w:val="center"/>
              <w:rPr>
                <w:sz w:val="22"/>
                <w:szCs w:val="22"/>
              </w:rPr>
            </w:pPr>
          </w:p>
        </w:tc>
        <w:tc>
          <w:tcPr>
            <w:tcW w:w="998" w:type="dxa"/>
            <w:shd w:val="clear" w:color="auto" w:fill="auto"/>
            <w:noWrap/>
            <w:hideMark/>
          </w:tcPr>
          <w:p w14:paraId="0EE802C2" w14:textId="77777777" w:rsidR="0035031A" w:rsidRPr="001928EA" w:rsidRDefault="0035031A" w:rsidP="00D30CC1">
            <w:pPr>
              <w:pStyle w:val="TableBody"/>
              <w:jc w:val="center"/>
              <w:rPr>
                <w:sz w:val="22"/>
                <w:szCs w:val="22"/>
              </w:rPr>
            </w:pPr>
          </w:p>
        </w:tc>
        <w:tc>
          <w:tcPr>
            <w:tcW w:w="998" w:type="dxa"/>
            <w:shd w:val="clear" w:color="auto" w:fill="auto"/>
            <w:noWrap/>
            <w:hideMark/>
          </w:tcPr>
          <w:p w14:paraId="75BE7E9A" w14:textId="77777777" w:rsidR="0035031A" w:rsidRPr="001928EA" w:rsidRDefault="0035031A" w:rsidP="00D30CC1">
            <w:pPr>
              <w:pStyle w:val="TableBody"/>
              <w:jc w:val="center"/>
              <w:rPr>
                <w:sz w:val="22"/>
                <w:szCs w:val="22"/>
              </w:rPr>
            </w:pPr>
          </w:p>
        </w:tc>
        <w:tc>
          <w:tcPr>
            <w:tcW w:w="1297" w:type="dxa"/>
            <w:shd w:val="clear" w:color="auto" w:fill="auto"/>
            <w:noWrap/>
            <w:hideMark/>
          </w:tcPr>
          <w:p w14:paraId="280BC7A4" w14:textId="77777777" w:rsidR="0035031A" w:rsidRPr="001928EA" w:rsidRDefault="0035031A" w:rsidP="00D30CC1">
            <w:pPr>
              <w:pStyle w:val="TableBody"/>
              <w:jc w:val="center"/>
              <w:rPr>
                <w:sz w:val="22"/>
                <w:szCs w:val="22"/>
              </w:rPr>
            </w:pPr>
          </w:p>
        </w:tc>
      </w:tr>
      <w:tr w:rsidR="0035031A" w:rsidRPr="00B17730" w14:paraId="6796F5E7" w14:textId="77777777" w:rsidTr="00D30CC1">
        <w:trPr>
          <w:trHeight w:val="320"/>
        </w:trPr>
        <w:tc>
          <w:tcPr>
            <w:tcW w:w="2340" w:type="dxa"/>
            <w:shd w:val="clear" w:color="auto" w:fill="auto"/>
            <w:noWrap/>
            <w:hideMark/>
          </w:tcPr>
          <w:p w14:paraId="219AB7B8" w14:textId="77777777" w:rsidR="0035031A" w:rsidRPr="001928EA" w:rsidRDefault="0035031A" w:rsidP="00D30CC1">
            <w:pPr>
              <w:pStyle w:val="TableBody"/>
              <w:ind w:firstLine="343"/>
              <w:rPr>
                <w:sz w:val="22"/>
                <w:szCs w:val="22"/>
              </w:rPr>
            </w:pPr>
            <w:r w:rsidRPr="001928EA">
              <w:rPr>
                <w:sz w:val="22"/>
                <w:szCs w:val="22"/>
              </w:rPr>
              <w:t>Resp 24</w:t>
            </w:r>
          </w:p>
        </w:tc>
        <w:tc>
          <w:tcPr>
            <w:tcW w:w="720" w:type="dxa"/>
            <w:shd w:val="clear" w:color="auto" w:fill="auto"/>
            <w:noWrap/>
            <w:hideMark/>
          </w:tcPr>
          <w:p w14:paraId="4786CC42" w14:textId="77777777" w:rsidR="0035031A" w:rsidRPr="001928EA" w:rsidRDefault="0035031A" w:rsidP="00D30CC1">
            <w:pPr>
              <w:pStyle w:val="TableBody"/>
              <w:rPr>
                <w:sz w:val="22"/>
                <w:szCs w:val="22"/>
              </w:rPr>
            </w:pPr>
          </w:p>
        </w:tc>
        <w:tc>
          <w:tcPr>
            <w:tcW w:w="997" w:type="dxa"/>
            <w:shd w:val="clear" w:color="auto" w:fill="auto"/>
            <w:noWrap/>
            <w:hideMark/>
          </w:tcPr>
          <w:p w14:paraId="1956E595" w14:textId="77777777" w:rsidR="0035031A" w:rsidRPr="001928EA" w:rsidRDefault="0035031A" w:rsidP="00D30CC1">
            <w:pPr>
              <w:pStyle w:val="TableBody"/>
              <w:jc w:val="center"/>
              <w:rPr>
                <w:sz w:val="22"/>
                <w:szCs w:val="22"/>
              </w:rPr>
            </w:pPr>
            <w:r>
              <w:rPr>
                <w:sz w:val="22"/>
                <w:szCs w:val="22"/>
              </w:rPr>
              <w:t>***</w:t>
            </w:r>
          </w:p>
        </w:tc>
        <w:tc>
          <w:tcPr>
            <w:tcW w:w="1012" w:type="dxa"/>
            <w:shd w:val="clear" w:color="auto" w:fill="auto"/>
            <w:noWrap/>
            <w:hideMark/>
          </w:tcPr>
          <w:p w14:paraId="35B2444B" w14:textId="77777777" w:rsidR="0035031A" w:rsidRPr="001928EA" w:rsidRDefault="0035031A" w:rsidP="00D30CC1">
            <w:pPr>
              <w:pStyle w:val="TableBody"/>
              <w:jc w:val="center"/>
              <w:rPr>
                <w:sz w:val="22"/>
                <w:szCs w:val="22"/>
              </w:rPr>
            </w:pPr>
            <w:r>
              <w:rPr>
                <w:sz w:val="22"/>
                <w:szCs w:val="22"/>
              </w:rPr>
              <w:t>+</w:t>
            </w:r>
          </w:p>
        </w:tc>
        <w:tc>
          <w:tcPr>
            <w:tcW w:w="998" w:type="dxa"/>
            <w:shd w:val="clear" w:color="auto" w:fill="auto"/>
            <w:noWrap/>
            <w:hideMark/>
          </w:tcPr>
          <w:p w14:paraId="12F2CFCF" w14:textId="77777777" w:rsidR="0035031A" w:rsidRPr="001928EA" w:rsidRDefault="0035031A" w:rsidP="00D30CC1">
            <w:pPr>
              <w:pStyle w:val="TableBody"/>
              <w:jc w:val="center"/>
              <w:rPr>
                <w:sz w:val="22"/>
                <w:szCs w:val="22"/>
              </w:rPr>
            </w:pPr>
          </w:p>
        </w:tc>
        <w:tc>
          <w:tcPr>
            <w:tcW w:w="998" w:type="dxa"/>
            <w:shd w:val="clear" w:color="auto" w:fill="auto"/>
            <w:noWrap/>
            <w:hideMark/>
          </w:tcPr>
          <w:p w14:paraId="081AF485" w14:textId="77777777" w:rsidR="0035031A" w:rsidRPr="001928EA" w:rsidRDefault="0035031A" w:rsidP="00D30CC1">
            <w:pPr>
              <w:pStyle w:val="TableBody"/>
              <w:jc w:val="center"/>
              <w:rPr>
                <w:sz w:val="22"/>
                <w:szCs w:val="22"/>
              </w:rPr>
            </w:pPr>
          </w:p>
        </w:tc>
        <w:tc>
          <w:tcPr>
            <w:tcW w:w="998" w:type="dxa"/>
            <w:shd w:val="clear" w:color="auto" w:fill="auto"/>
            <w:noWrap/>
            <w:hideMark/>
          </w:tcPr>
          <w:p w14:paraId="0D234E43" w14:textId="77777777" w:rsidR="0035031A" w:rsidRPr="001928EA" w:rsidRDefault="0035031A" w:rsidP="00D30CC1">
            <w:pPr>
              <w:pStyle w:val="TableBody"/>
              <w:jc w:val="center"/>
              <w:rPr>
                <w:sz w:val="22"/>
                <w:szCs w:val="22"/>
              </w:rPr>
            </w:pPr>
          </w:p>
        </w:tc>
        <w:tc>
          <w:tcPr>
            <w:tcW w:w="1297" w:type="dxa"/>
            <w:shd w:val="clear" w:color="auto" w:fill="auto"/>
            <w:noWrap/>
            <w:hideMark/>
          </w:tcPr>
          <w:p w14:paraId="1E7E1FCE" w14:textId="77777777" w:rsidR="0035031A" w:rsidRPr="001928EA" w:rsidRDefault="0035031A" w:rsidP="00D30CC1">
            <w:pPr>
              <w:pStyle w:val="TableBody"/>
              <w:jc w:val="center"/>
              <w:rPr>
                <w:sz w:val="22"/>
                <w:szCs w:val="22"/>
              </w:rPr>
            </w:pPr>
          </w:p>
        </w:tc>
      </w:tr>
      <w:tr w:rsidR="0035031A" w:rsidRPr="00B17730" w14:paraId="39A4BFBF" w14:textId="77777777" w:rsidTr="00D30CC1">
        <w:trPr>
          <w:trHeight w:val="320"/>
        </w:trPr>
        <w:tc>
          <w:tcPr>
            <w:tcW w:w="2340" w:type="dxa"/>
            <w:shd w:val="clear" w:color="auto" w:fill="auto"/>
            <w:noWrap/>
            <w:hideMark/>
          </w:tcPr>
          <w:p w14:paraId="2564977B" w14:textId="77777777" w:rsidR="0035031A" w:rsidRPr="001928EA" w:rsidRDefault="0035031A" w:rsidP="00D30CC1">
            <w:pPr>
              <w:pStyle w:val="TableBody"/>
              <w:ind w:firstLine="343"/>
              <w:rPr>
                <w:sz w:val="22"/>
                <w:szCs w:val="22"/>
              </w:rPr>
            </w:pPr>
            <w:r w:rsidRPr="001928EA">
              <w:rPr>
                <w:sz w:val="22"/>
                <w:szCs w:val="22"/>
              </w:rPr>
              <w:t>WEOC</w:t>
            </w:r>
          </w:p>
        </w:tc>
        <w:tc>
          <w:tcPr>
            <w:tcW w:w="720" w:type="dxa"/>
            <w:shd w:val="clear" w:color="auto" w:fill="auto"/>
            <w:noWrap/>
            <w:hideMark/>
          </w:tcPr>
          <w:p w14:paraId="1F140721" w14:textId="77777777" w:rsidR="0035031A" w:rsidRPr="001928EA" w:rsidRDefault="0035031A" w:rsidP="00D30CC1">
            <w:pPr>
              <w:pStyle w:val="TableBody"/>
              <w:rPr>
                <w:sz w:val="22"/>
                <w:szCs w:val="22"/>
              </w:rPr>
            </w:pPr>
          </w:p>
        </w:tc>
        <w:tc>
          <w:tcPr>
            <w:tcW w:w="997" w:type="dxa"/>
            <w:shd w:val="clear" w:color="auto" w:fill="auto"/>
            <w:noWrap/>
            <w:hideMark/>
          </w:tcPr>
          <w:p w14:paraId="5E622E5D" w14:textId="77777777" w:rsidR="0035031A" w:rsidRPr="001928EA" w:rsidRDefault="0035031A" w:rsidP="00D30CC1">
            <w:pPr>
              <w:pStyle w:val="TableBody"/>
              <w:jc w:val="center"/>
              <w:rPr>
                <w:sz w:val="22"/>
                <w:szCs w:val="22"/>
              </w:rPr>
            </w:pPr>
            <w:r>
              <w:rPr>
                <w:sz w:val="22"/>
                <w:szCs w:val="22"/>
              </w:rPr>
              <w:t>***</w:t>
            </w:r>
          </w:p>
        </w:tc>
        <w:tc>
          <w:tcPr>
            <w:tcW w:w="1012" w:type="dxa"/>
            <w:shd w:val="clear" w:color="auto" w:fill="auto"/>
            <w:noWrap/>
            <w:hideMark/>
          </w:tcPr>
          <w:p w14:paraId="77999A85" w14:textId="77777777" w:rsidR="0035031A" w:rsidRPr="001928EA" w:rsidRDefault="0035031A" w:rsidP="00D30CC1">
            <w:pPr>
              <w:pStyle w:val="TableBody"/>
              <w:jc w:val="center"/>
              <w:rPr>
                <w:sz w:val="22"/>
                <w:szCs w:val="22"/>
              </w:rPr>
            </w:pPr>
          </w:p>
        </w:tc>
        <w:tc>
          <w:tcPr>
            <w:tcW w:w="998" w:type="dxa"/>
            <w:shd w:val="clear" w:color="auto" w:fill="auto"/>
            <w:noWrap/>
            <w:hideMark/>
          </w:tcPr>
          <w:p w14:paraId="5AC9E05E" w14:textId="77777777" w:rsidR="0035031A" w:rsidRPr="001928EA" w:rsidRDefault="0035031A" w:rsidP="00D30CC1">
            <w:pPr>
              <w:pStyle w:val="TableBody"/>
              <w:jc w:val="center"/>
              <w:rPr>
                <w:sz w:val="22"/>
                <w:szCs w:val="22"/>
              </w:rPr>
            </w:pPr>
          </w:p>
        </w:tc>
        <w:tc>
          <w:tcPr>
            <w:tcW w:w="998" w:type="dxa"/>
            <w:shd w:val="clear" w:color="auto" w:fill="auto"/>
            <w:noWrap/>
            <w:hideMark/>
          </w:tcPr>
          <w:p w14:paraId="0DB16053" w14:textId="77777777" w:rsidR="0035031A" w:rsidRPr="001928EA" w:rsidRDefault="0035031A" w:rsidP="00D30CC1">
            <w:pPr>
              <w:pStyle w:val="TableBody"/>
              <w:jc w:val="center"/>
              <w:rPr>
                <w:sz w:val="22"/>
                <w:szCs w:val="22"/>
              </w:rPr>
            </w:pPr>
          </w:p>
        </w:tc>
        <w:tc>
          <w:tcPr>
            <w:tcW w:w="998" w:type="dxa"/>
            <w:shd w:val="clear" w:color="auto" w:fill="auto"/>
            <w:noWrap/>
            <w:hideMark/>
          </w:tcPr>
          <w:p w14:paraId="68C91263" w14:textId="77777777" w:rsidR="0035031A" w:rsidRPr="001928EA" w:rsidRDefault="0035031A" w:rsidP="00D30CC1">
            <w:pPr>
              <w:pStyle w:val="TableBody"/>
              <w:jc w:val="center"/>
              <w:rPr>
                <w:sz w:val="22"/>
                <w:szCs w:val="22"/>
              </w:rPr>
            </w:pPr>
          </w:p>
        </w:tc>
        <w:tc>
          <w:tcPr>
            <w:tcW w:w="1297" w:type="dxa"/>
            <w:shd w:val="clear" w:color="auto" w:fill="auto"/>
            <w:noWrap/>
            <w:hideMark/>
          </w:tcPr>
          <w:p w14:paraId="04D34FB0" w14:textId="77777777" w:rsidR="0035031A" w:rsidRPr="001928EA" w:rsidRDefault="0035031A" w:rsidP="00D30CC1">
            <w:pPr>
              <w:pStyle w:val="TableBody"/>
              <w:jc w:val="center"/>
              <w:rPr>
                <w:sz w:val="22"/>
                <w:szCs w:val="22"/>
              </w:rPr>
            </w:pPr>
          </w:p>
        </w:tc>
      </w:tr>
      <w:tr w:rsidR="0035031A" w:rsidRPr="00B17730" w14:paraId="7C7A1590" w14:textId="77777777" w:rsidTr="00D30CC1">
        <w:trPr>
          <w:trHeight w:val="320"/>
        </w:trPr>
        <w:tc>
          <w:tcPr>
            <w:tcW w:w="2340" w:type="dxa"/>
            <w:shd w:val="clear" w:color="auto" w:fill="auto"/>
            <w:noWrap/>
            <w:hideMark/>
          </w:tcPr>
          <w:p w14:paraId="005CCDB2" w14:textId="77777777" w:rsidR="0035031A" w:rsidRPr="001928EA" w:rsidRDefault="0035031A" w:rsidP="00D30CC1">
            <w:pPr>
              <w:pStyle w:val="TableBody"/>
              <w:ind w:firstLine="343"/>
              <w:rPr>
                <w:sz w:val="22"/>
                <w:szCs w:val="22"/>
              </w:rPr>
            </w:pPr>
            <w:r w:rsidRPr="001928EA">
              <w:rPr>
                <w:sz w:val="22"/>
                <w:szCs w:val="22"/>
              </w:rPr>
              <w:t>WEON</w:t>
            </w:r>
          </w:p>
        </w:tc>
        <w:tc>
          <w:tcPr>
            <w:tcW w:w="720" w:type="dxa"/>
            <w:shd w:val="clear" w:color="auto" w:fill="auto"/>
            <w:noWrap/>
            <w:hideMark/>
          </w:tcPr>
          <w:p w14:paraId="034BC7D6" w14:textId="77777777" w:rsidR="0035031A" w:rsidRPr="001928EA" w:rsidRDefault="0035031A" w:rsidP="00D30CC1">
            <w:pPr>
              <w:pStyle w:val="TableBody"/>
              <w:rPr>
                <w:sz w:val="22"/>
                <w:szCs w:val="22"/>
              </w:rPr>
            </w:pPr>
          </w:p>
        </w:tc>
        <w:tc>
          <w:tcPr>
            <w:tcW w:w="997" w:type="dxa"/>
            <w:shd w:val="clear" w:color="auto" w:fill="auto"/>
            <w:noWrap/>
            <w:hideMark/>
          </w:tcPr>
          <w:p w14:paraId="0D3E09A1" w14:textId="77777777" w:rsidR="0035031A" w:rsidRPr="001928EA" w:rsidRDefault="0035031A" w:rsidP="00D30CC1">
            <w:pPr>
              <w:pStyle w:val="TableBody"/>
              <w:jc w:val="center"/>
              <w:rPr>
                <w:sz w:val="22"/>
                <w:szCs w:val="22"/>
              </w:rPr>
            </w:pPr>
            <w:r>
              <w:rPr>
                <w:sz w:val="22"/>
                <w:szCs w:val="22"/>
              </w:rPr>
              <w:t>***</w:t>
            </w:r>
          </w:p>
        </w:tc>
        <w:tc>
          <w:tcPr>
            <w:tcW w:w="1012" w:type="dxa"/>
            <w:shd w:val="clear" w:color="auto" w:fill="auto"/>
            <w:noWrap/>
            <w:hideMark/>
          </w:tcPr>
          <w:p w14:paraId="20041FC6" w14:textId="77777777" w:rsidR="0035031A" w:rsidRPr="001928EA" w:rsidRDefault="0035031A" w:rsidP="00D30CC1">
            <w:pPr>
              <w:pStyle w:val="TableBody"/>
              <w:jc w:val="center"/>
              <w:rPr>
                <w:sz w:val="22"/>
                <w:szCs w:val="22"/>
              </w:rPr>
            </w:pPr>
          </w:p>
        </w:tc>
        <w:tc>
          <w:tcPr>
            <w:tcW w:w="998" w:type="dxa"/>
            <w:shd w:val="clear" w:color="auto" w:fill="auto"/>
            <w:noWrap/>
            <w:hideMark/>
          </w:tcPr>
          <w:p w14:paraId="5943AEA8" w14:textId="77777777" w:rsidR="0035031A" w:rsidRPr="001928EA" w:rsidRDefault="0035031A" w:rsidP="00D30CC1">
            <w:pPr>
              <w:pStyle w:val="TableBody"/>
              <w:jc w:val="center"/>
              <w:rPr>
                <w:sz w:val="22"/>
                <w:szCs w:val="22"/>
              </w:rPr>
            </w:pPr>
          </w:p>
        </w:tc>
        <w:tc>
          <w:tcPr>
            <w:tcW w:w="998" w:type="dxa"/>
            <w:shd w:val="clear" w:color="auto" w:fill="auto"/>
            <w:noWrap/>
            <w:hideMark/>
          </w:tcPr>
          <w:p w14:paraId="14903C50" w14:textId="77777777" w:rsidR="0035031A" w:rsidRPr="001928EA" w:rsidRDefault="0035031A" w:rsidP="00D30CC1">
            <w:pPr>
              <w:pStyle w:val="TableBody"/>
              <w:jc w:val="center"/>
              <w:rPr>
                <w:sz w:val="22"/>
                <w:szCs w:val="22"/>
              </w:rPr>
            </w:pPr>
          </w:p>
        </w:tc>
        <w:tc>
          <w:tcPr>
            <w:tcW w:w="998" w:type="dxa"/>
            <w:shd w:val="clear" w:color="auto" w:fill="auto"/>
            <w:noWrap/>
            <w:hideMark/>
          </w:tcPr>
          <w:p w14:paraId="7C66799D" w14:textId="77777777" w:rsidR="0035031A" w:rsidRPr="001928EA" w:rsidRDefault="0035031A" w:rsidP="00D30CC1">
            <w:pPr>
              <w:pStyle w:val="TableBody"/>
              <w:jc w:val="center"/>
              <w:rPr>
                <w:sz w:val="22"/>
                <w:szCs w:val="22"/>
              </w:rPr>
            </w:pPr>
          </w:p>
        </w:tc>
        <w:tc>
          <w:tcPr>
            <w:tcW w:w="1297" w:type="dxa"/>
            <w:shd w:val="clear" w:color="auto" w:fill="auto"/>
            <w:noWrap/>
            <w:hideMark/>
          </w:tcPr>
          <w:p w14:paraId="025470DA" w14:textId="77777777" w:rsidR="0035031A" w:rsidRPr="001928EA" w:rsidRDefault="0035031A" w:rsidP="00D30CC1">
            <w:pPr>
              <w:pStyle w:val="TableBody"/>
              <w:jc w:val="center"/>
              <w:rPr>
                <w:sz w:val="22"/>
                <w:szCs w:val="22"/>
              </w:rPr>
            </w:pPr>
          </w:p>
        </w:tc>
      </w:tr>
      <w:tr w:rsidR="0035031A" w:rsidRPr="00B17730" w14:paraId="09BFE6DF" w14:textId="77777777" w:rsidTr="00D30CC1">
        <w:trPr>
          <w:trHeight w:val="320"/>
        </w:trPr>
        <w:tc>
          <w:tcPr>
            <w:tcW w:w="2340" w:type="dxa"/>
            <w:shd w:val="clear" w:color="auto" w:fill="auto"/>
            <w:noWrap/>
            <w:hideMark/>
          </w:tcPr>
          <w:p w14:paraId="729A2242" w14:textId="77777777" w:rsidR="0035031A" w:rsidRPr="001928EA" w:rsidRDefault="0035031A" w:rsidP="00D30CC1">
            <w:pPr>
              <w:pStyle w:val="TableBody"/>
              <w:ind w:firstLine="343"/>
              <w:rPr>
                <w:sz w:val="22"/>
                <w:szCs w:val="22"/>
              </w:rPr>
            </w:pPr>
            <w:r w:rsidRPr="001928EA">
              <w:rPr>
                <w:sz w:val="22"/>
                <w:szCs w:val="22"/>
              </w:rPr>
              <w:t>pH</w:t>
            </w:r>
          </w:p>
        </w:tc>
        <w:tc>
          <w:tcPr>
            <w:tcW w:w="720" w:type="dxa"/>
            <w:shd w:val="clear" w:color="auto" w:fill="auto"/>
            <w:noWrap/>
            <w:hideMark/>
          </w:tcPr>
          <w:p w14:paraId="1E2132F1" w14:textId="77777777" w:rsidR="0035031A" w:rsidRPr="001928EA" w:rsidRDefault="0035031A" w:rsidP="00D30CC1">
            <w:pPr>
              <w:pStyle w:val="TableBody"/>
              <w:rPr>
                <w:sz w:val="22"/>
                <w:szCs w:val="22"/>
              </w:rPr>
            </w:pPr>
          </w:p>
        </w:tc>
        <w:tc>
          <w:tcPr>
            <w:tcW w:w="997" w:type="dxa"/>
            <w:shd w:val="clear" w:color="auto" w:fill="auto"/>
            <w:noWrap/>
            <w:hideMark/>
          </w:tcPr>
          <w:p w14:paraId="7AAC0FDA" w14:textId="77777777" w:rsidR="0035031A" w:rsidRPr="001928EA" w:rsidRDefault="0035031A" w:rsidP="00D30CC1">
            <w:pPr>
              <w:pStyle w:val="TableBody"/>
              <w:jc w:val="center"/>
              <w:rPr>
                <w:sz w:val="22"/>
                <w:szCs w:val="22"/>
              </w:rPr>
            </w:pPr>
            <w:r>
              <w:rPr>
                <w:sz w:val="22"/>
                <w:szCs w:val="22"/>
              </w:rPr>
              <w:t>**</w:t>
            </w:r>
          </w:p>
        </w:tc>
        <w:tc>
          <w:tcPr>
            <w:tcW w:w="1012" w:type="dxa"/>
            <w:shd w:val="clear" w:color="auto" w:fill="auto"/>
            <w:noWrap/>
            <w:hideMark/>
          </w:tcPr>
          <w:p w14:paraId="35E92943" w14:textId="77777777" w:rsidR="0035031A" w:rsidRPr="001928EA" w:rsidRDefault="0035031A" w:rsidP="00D30CC1">
            <w:pPr>
              <w:pStyle w:val="TableBody"/>
              <w:jc w:val="center"/>
              <w:rPr>
                <w:sz w:val="22"/>
                <w:szCs w:val="22"/>
              </w:rPr>
            </w:pPr>
            <w:r>
              <w:rPr>
                <w:sz w:val="22"/>
                <w:szCs w:val="22"/>
              </w:rPr>
              <w:t>***</w:t>
            </w:r>
          </w:p>
        </w:tc>
        <w:tc>
          <w:tcPr>
            <w:tcW w:w="998" w:type="dxa"/>
            <w:shd w:val="clear" w:color="auto" w:fill="auto"/>
            <w:noWrap/>
            <w:hideMark/>
          </w:tcPr>
          <w:p w14:paraId="4CE0CDF9" w14:textId="77777777" w:rsidR="0035031A" w:rsidRPr="001928EA" w:rsidRDefault="0035031A" w:rsidP="00D30CC1">
            <w:pPr>
              <w:pStyle w:val="TableBody"/>
              <w:jc w:val="center"/>
              <w:rPr>
                <w:sz w:val="22"/>
                <w:szCs w:val="22"/>
              </w:rPr>
            </w:pPr>
          </w:p>
        </w:tc>
        <w:tc>
          <w:tcPr>
            <w:tcW w:w="998" w:type="dxa"/>
            <w:shd w:val="clear" w:color="auto" w:fill="auto"/>
            <w:noWrap/>
            <w:hideMark/>
          </w:tcPr>
          <w:p w14:paraId="674AB31B" w14:textId="77777777" w:rsidR="0035031A" w:rsidRPr="001928EA" w:rsidRDefault="0035031A" w:rsidP="00D30CC1">
            <w:pPr>
              <w:pStyle w:val="TableBody"/>
              <w:jc w:val="center"/>
              <w:rPr>
                <w:sz w:val="22"/>
                <w:szCs w:val="22"/>
              </w:rPr>
            </w:pPr>
          </w:p>
        </w:tc>
        <w:tc>
          <w:tcPr>
            <w:tcW w:w="998" w:type="dxa"/>
            <w:shd w:val="clear" w:color="auto" w:fill="auto"/>
            <w:noWrap/>
            <w:hideMark/>
          </w:tcPr>
          <w:p w14:paraId="37C5F0FF" w14:textId="77777777" w:rsidR="0035031A" w:rsidRPr="001928EA" w:rsidRDefault="0035031A" w:rsidP="00D30CC1">
            <w:pPr>
              <w:pStyle w:val="TableBody"/>
              <w:jc w:val="center"/>
              <w:rPr>
                <w:sz w:val="22"/>
                <w:szCs w:val="22"/>
              </w:rPr>
            </w:pPr>
            <w:r>
              <w:rPr>
                <w:sz w:val="22"/>
                <w:szCs w:val="22"/>
              </w:rPr>
              <w:t>**</w:t>
            </w:r>
          </w:p>
        </w:tc>
        <w:tc>
          <w:tcPr>
            <w:tcW w:w="1297" w:type="dxa"/>
            <w:shd w:val="clear" w:color="auto" w:fill="auto"/>
            <w:noWrap/>
            <w:hideMark/>
          </w:tcPr>
          <w:p w14:paraId="3FBB267A" w14:textId="77777777" w:rsidR="0035031A" w:rsidRPr="001928EA" w:rsidRDefault="0035031A" w:rsidP="00D30CC1">
            <w:pPr>
              <w:pStyle w:val="TableBody"/>
              <w:jc w:val="center"/>
              <w:rPr>
                <w:sz w:val="22"/>
                <w:szCs w:val="22"/>
              </w:rPr>
            </w:pPr>
          </w:p>
        </w:tc>
      </w:tr>
      <w:tr w:rsidR="0035031A" w:rsidRPr="00B17730" w14:paraId="08C14FA4" w14:textId="77777777" w:rsidTr="00D30CC1">
        <w:trPr>
          <w:trHeight w:val="320"/>
        </w:trPr>
        <w:tc>
          <w:tcPr>
            <w:tcW w:w="2340" w:type="dxa"/>
            <w:shd w:val="clear" w:color="auto" w:fill="auto"/>
            <w:noWrap/>
            <w:hideMark/>
          </w:tcPr>
          <w:p w14:paraId="2208B69B" w14:textId="77777777" w:rsidR="0035031A" w:rsidRPr="001928EA" w:rsidRDefault="0035031A" w:rsidP="00D30CC1">
            <w:pPr>
              <w:pStyle w:val="TableBody"/>
              <w:ind w:firstLine="343"/>
              <w:rPr>
                <w:sz w:val="22"/>
                <w:szCs w:val="22"/>
              </w:rPr>
            </w:pPr>
            <w:r w:rsidRPr="001928EA">
              <w:rPr>
                <w:sz w:val="22"/>
                <w:szCs w:val="22"/>
              </w:rPr>
              <w:t>P</w:t>
            </w:r>
          </w:p>
        </w:tc>
        <w:tc>
          <w:tcPr>
            <w:tcW w:w="720" w:type="dxa"/>
            <w:shd w:val="clear" w:color="auto" w:fill="auto"/>
            <w:noWrap/>
            <w:hideMark/>
          </w:tcPr>
          <w:p w14:paraId="435217A0" w14:textId="77777777" w:rsidR="0035031A" w:rsidRPr="001928EA" w:rsidRDefault="0035031A" w:rsidP="00D30CC1">
            <w:pPr>
              <w:pStyle w:val="TableBody"/>
              <w:rPr>
                <w:sz w:val="22"/>
                <w:szCs w:val="22"/>
              </w:rPr>
            </w:pPr>
          </w:p>
        </w:tc>
        <w:tc>
          <w:tcPr>
            <w:tcW w:w="997" w:type="dxa"/>
            <w:shd w:val="clear" w:color="auto" w:fill="auto"/>
            <w:noWrap/>
            <w:hideMark/>
          </w:tcPr>
          <w:p w14:paraId="3F611B42" w14:textId="77777777" w:rsidR="0035031A" w:rsidRPr="001928EA" w:rsidRDefault="0035031A" w:rsidP="00D30CC1">
            <w:pPr>
              <w:pStyle w:val="TableBody"/>
              <w:jc w:val="center"/>
              <w:rPr>
                <w:sz w:val="22"/>
                <w:szCs w:val="22"/>
              </w:rPr>
            </w:pPr>
            <w:r>
              <w:rPr>
                <w:sz w:val="22"/>
                <w:szCs w:val="22"/>
              </w:rPr>
              <w:t>***</w:t>
            </w:r>
          </w:p>
        </w:tc>
        <w:tc>
          <w:tcPr>
            <w:tcW w:w="1012" w:type="dxa"/>
            <w:shd w:val="clear" w:color="auto" w:fill="auto"/>
            <w:noWrap/>
            <w:hideMark/>
          </w:tcPr>
          <w:p w14:paraId="0B5F8D6B" w14:textId="77777777" w:rsidR="0035031A" w:rsidRPr="001928EA" w:rsidRDefault="0035031A" w:rsidP="00D30CC1">
            <w:pPr>
              <w:pStyle w:val="TableBody"/>
              <w:jc w:val="center"/>
              <w:rPr>
                <w:sz w:val="22"/>
                <w:szCs w:val="22"/>
              </w:rPr>
            </w:pPr>
            <w:r w:rsidRPr="001928EA">
              <w:rPr>
                <w:sz w:val="22"/>
                <w:szCs w:val="22"/>
              </w:rPr>
              <w:t>***</w:t>
            </w:r>
          </w:p>
        </w:tc>
        <w:tc>
          <w:tcPr>
            <w:tcW w:w="998" w:type="dxa"/>
            <w:shd w:val="clear" w:color="auto" w:fill="auto"/>
            <w:noWrap/>
            <w:hideMark/>
          </w:tcPr>
          <w:p w14:paraId="6BC0FE90" w14:textId="77777777" w:rsidR="0035031A" w:rsidRPr="001928EA" w:rsidRDefault="0035031A" w:rsidP="00D30CC1">
            <w:pPr>
              <w:pStyle w:val="TableBody"/>
              <w:jc w:val="center"/>
              <w:rPr>
                <w:sz w:val="22"/>
                <w:szCs w:val="22"/>
              </w:rPr>
            </w:pPr>
          </w:p>
        </w:tc>
        <w:tc>
          <w:tcPr>
            <w:tcW w:w="998" w:type="dxa"/>
            <w:shd w:val="clear" w:color="auto" w:fill="auto"/>
            <w:noWrap/>
            <w:hideMark/>
          </w:tcPr>
          <w:p w14:paraId="65F2B918" w14:textId="77777777" w:rsidR="0035031A" w:rsidRPr="001928EA" w:rsidRDefault="0035031A" w:rsidP="00D30CC1">
            <w:pPr>
              <w:pStyle w:val="TableBody"/>
              <w:jc w:val="center"/>
              <w:rPr>
                <w:sz w:val="22"/>
                <w:szCs w:val="22"/>
              </w:rPr>
            </w:pPr>
          </w:p>
        </w:tc>
        <w:tc>
          <w:tcPr>
            <w:tcW w:w="998" w:type="dxa"/>
            <w:shd w:val="clear" w:color="auto" w:fill="auto"/>
            <w:noWrap/>
            <w:hideMark/>
          </w:tcPr>
          <w:p w14:paraId="2BB3C561" w14:textId="77777777" w:rsidR="0035031A" w:rsidRPr="001928EA" w:rsidRDefault="0035031A" w:rsidP="00D30CC1">
            <w:pPr>
              <w:pStyle w:val="TableBody"/>
              <w:jc w:val="center"/>
              <w:rPr>
                <w:sz w:val="22"/>
                <w:szCs w:val="22"/>
              </w:rPr>
            </w:pPr>
            <w:r>
              <w:rPr>
                <w:sz w:val="22"/>
                <w:szCs w:val="22"/>
              </w:rPr>
              <w:t>***</w:t>
            </w:r>
          </w:p>
        </w:tc>
        <w:tc>
          <w:tcPr>
            <w:tcW w:w="1297" w:type="dxa"/>
            <w:shd w:val="clear" w:color="auto" w:fill="auto"/>
            <w:noWrap/>
            <w:hideMark/>
          </w:tcPr>
          <w:p w14:paraId="2AA7F727" w14:textId="77777777" w:rsidR="0035031A" w:rsidRPr="001928EA" w:rsidRDefault="0035031A" w:rsidP="00D30CC1">
            <w:pPr>
              <w:pStyle w:val="TableBody"/>
              <w:jc w:val="center"/>
              <w:rPr>
                <w:sz w:val="22"/>
                <w:szCs w:val="22"/>
              </w:rPr>
            </w:pPr>
          </w:p>
        </w:tc>
      </w:tr>
      <w:tr w:rsidR="0035031A" w:rsidRPr="00B17730" w14:paraId="36E792B2" w14:textId="77777777" w:rsidTr="00D30CC1">
        <w:trPr>
          <w:trHeight w:val="320"/>
        </w:trPr>
        <w:tc>
          <w:tcPr>
            <w:tcW w:w="2340" w:type="dxa"/>
            <w:shd w:val="clear" w:color="auto" w:fill="auto"/>
            <w:noWrap/>
            <w:hideMark/>
          </w:tcPr>
          <w:p w14:paraId="7B18EA17" w14:textId="77777777" w:rsidR="0035031A" w:rsidRPr="001928EA" w:rsidRDefault="0035031A" w:rsidP="00D30CC1">
            <w:pPr>
              <w:pStyle w:val="TableBody"/>
              <w:ind w:firstLine="343"/>
              <w:rPr>
                <w:sz w:val="22"/>
                <w:szCs w:val="22"/>
              </w:rPr>
            </w:pPr>
            <w:r w:rsidRPr="001928EA">
              <w:rPr>
                <w:sz w:val="22"/>
                <w:szCs w:val="22"/>
              </w:rPr>
              <w:t>K</w:t>
            </w:r>
          </w:p>
        </w:tc>
        <w:tc>
          <w:tcPr>
            <w:tcW w:w="720" w:type="dxa"/>
            <w:shd w:val="clear" w:color="auto" w:fill="auto"/>
            <w:noWrap/>
            <w:hideMark/>
          </w:tcPr>
          <w:p w14:paraId="05D9784F" w14:textId="77777777" w:rsidR="0035031A" w:rsidRPr="001928EA" w:rsidRDefault="0035031A" w:rsidP="00D30CC1">
            <w:pPr>
              <w:pStyle w:val="TableBody"/>
              <w:rPr>
                <w:sz w:val="22"/>
                <w:szCs w:val="22"/>
              </w:rPr>
            </w:pPr>
          </w:p>
        </w:tc>
        <w:tc>
          <w:tcPr>
            <w:tcW w:w="997" w:type="dxa"/>
            <w:shd w:val="clear" w:color="auto" w:fill="auto"/>
            <w:noWrap/>
            <w:hideMark/>
          </w:tcPr>
          <w:p w14:paraId="02E91D3C" w14:textId="77777777" w:rsidR="0035031A" w:rsidRPr="001928EA" w:rsidRDefault="0035031A" w:rsidP="00D30CC1">
            <w:pPr>
              <w:pStyle w:val="TableBody"/>
              <w:jc w:val="center"/>
              <w:rPr>
                <w:sz w:val="22"/>
                <w:szCs w:val="22"/>
              </w:rPr>
            </w:pPr>
            <w:r>
              <w:rPr>
                <w:sz w:val="22"/>
                <w:szCs w:val="22"/>
              </w:rPr>
              <w:t>***</w:t>
            </w:r>
          </w:p>
        </w:tc>
        <w:tc>
          <w:tcPr>
            <w:tcW w:w="1012" w:type="dxa"/>
            <w:shd w:val="clear" w:color="auto" w:fill="auto"/>
            <w:noWrap/>
            <w:hideMark/>
          </w:tcPr>
          <w:p w14:paraId="4413328E" w14:textId="77777777" w:rsidR="0035031A" w:rsidRPr="001928EA" w:rsidRDefault="0035031A" w:rsidP="00D30CC1">
            <w:pPr>
              <w:pStyle w:val="TableBody"/>
              <w:jc w:val="center"/>
              <w:rPr>
                <w:sz w:val="22"/>
                <w:szCs w:val="22"/>
              </w:rPr>
            </w:pPr>
            <w:r w:rsidRPr="001928EA">
              <w:rPr>
                <w:sz w:val="22"/>
                <w:szCs w:val="22"/>
              </w:rPr>
              <w:t>***</w:t>
            </w:r>
          </w:p>
        </w:tc>
        <w:tc>
          <w:tcPr>
            <w:tcW w:w="998" w:type="dxa"/>
            <w:shd w:val="clear" w:color="auto" w:fill="auto"/>
            <w:noWrap/>
            <w:hideMark/>
          </w:tcPr>
          <w:p w14:paraId="2F874E6D" w14:textId="77777777" w:rsidR="0035031A" w:rsidRPr="001928EA" w:rsidRDefault="0035031A" w:rsidP="00D30CC1">
            <w:pPr>
              <w:pStyle w:val="TableBody"/>
              <w:jc w:val="center"/>
              <w:rPr>
                <w:sz w:val="22"/>
                <w:szCs w:val="22"/>
              </w:rPr>
            </w:pPr>
          </w:p>
        </w:tc>
        <w:tc>
          <w:tcPr>
            <w:tcW w:w="998" w:type="dxa"/>
            <w:shd w:val="clear" w:color="auto" w:fill="auto"/>
            <w:noWrap/>
            <w:hideMark/>
          </w:tcPr>
          <w:p w14:paraId="74D87819" w14:textId="77777777" w:rsidR="0035031A" w:rsidRPr="001928EA" w:rsidRDefault="0035031A" w:rsidP="00D30CC1">
            <w:pPr>
              <w:pStyle w:val="TableBody"/>
              <w:jc w:val="center"/>
              <w:rPr>
                <w:sz w:val="22"/>
                <w:szCs w:val="22"/>
              </w:rPr>
            </w:pPr>
          </w:p>
        </w:tc>
        <w:tc>
          <w:tcPr>
            <w:tcW w:w="998" w:type="dxa"/>
            <w:shd w:val="clear" w:color="auto" w:fill="auto"/>
            <w:noWrap/>
            <w:hideMark/>
          </w:tcPr>
          <w:p w14:paraId="2F844261" w14:textId="77777777" w:rsidR="0035031A" w:rsidRPr="001928EA" w:rsidRDefault="0035031A" w:rsidP="00D30CC1">
            <w:pPr>
              <w:pStyle w:val="TableBody"/>
              <w:jc w:val="center"/>
              <w:rPr>
                <w:sz w:val="22"/>
                <w:szCs w:val="22"/>
              </w:rPr>
            </w:pPr>
          </w:p>
        </w:tc>
        <w:tc>
          <w:tcPr>
            <w:tcW w:w="1297" w:type="dxa"/>
            <w:shd w:val="clear" w:color="auto" w:fill="auto"/>
            <w:noWrap/>
            <w:hideMark/>
          </w:tcPr>
          <w:p w14:paraId="7FF36145" w14:textId="77777777" w:rsidR="0035031A" w:rsidRPr="001928EA" w:rsidRDefault="0035031A" w:rsidP="00D30CC1">
            <w:pPr>
              <w:pStyle w:val="TableBody"/>
              <w:jc w:val="center"/>
              <w:rPr>
                <w:sz w:val="22"/>
                <w:szCs w:val="22"/>
              </w:rPr>
            </w:pPr>
          </w:p>
        </w:tc>
      </w:tr>
      <w:tr w:rsidR="0035031A" w:rsidRPr="00B17730" w14:paraId="22CD384A" w14:textId="77777777" w:rsidTr="00D30CC1">
        <w:trPr>
          <w:trHeight w:val="320"/>
        </w:trPr>
        <w:tc>
          <w:tcPr>
            <w:tcW w:w="2340" w:type="dxa"/>
            <w:shd w:val="clear" w:color="auto" w:fill="auto"/>
            <w:noWrap/>
            <w:hideMark/>
          </w:tcPr>
          <w:p w14:paraId="6CF38F9A" w14:textId="77777777" w:rsidR="0035031A" w:rsidRPr="001928EA" w:rsidRDefault="0035031A" w:rsidP="00D30CC1">
            <w:pPr>
              <w:pStyle w:val="TableBody"/>
              <w:ind w:firstLine="343"/>
              <w:rPr>
                <w:sz w:val="22"/>
                <w:szCs w:val="22"/>
              </w:rPr>
            </w:pPr>
            <w:r>
              <w:rPr>
                <w:sz w:val="22"/>
                <w:szCs w:val="22"/>
              </w:rPr>
              <w:t>WAS</w:t>
            </w:r>
          </w:p>
        </w:tc>
        <w:tc>
          <w:tcPr>
            <w:tcW w:w="720" w:type="dxa"/>
            <w:shd w:val="clear" w:color="auto" w:fill="auto"/>
            <w:noWrap/>
            <w:hideMark/>
          </w:tcPr>
          <w:p w14:paraId="56D8F816" w14:textId="77777777" w:rsidR="0035031A" w:rsidRPr="001928EA" w:rsidRDefault="0035031A" w:rsidP="00D30CC1">
            <w:pPr>
              <w:pStyle w:val="TableBody"/>
              <w:rPr>
                <w:sz w:val="22"/>
                <w:szCs w:val="22"/>
              </w:rPr>
            </w:pPr>
          </w:p>
        </w:tc>
        <w:tc>
          <w:tcPr>
            <w:tcW w:w="997" w:type="dxa"/>
            <w:shd w:val="clear" w:color="auto" w:fill="auto"/>
            <w:noWrap/>
            <w:hideMark/>
          </w:tcPr>
          <w:p w14:paraId="5CB2489F" w14:textId="77777777" w:rsidR="0035031A" w:rsidRPr="001928EA" w:rsidRDefault="0035031A" w:rsidP="00D30CC1">
            <w:pPr>
              <w:pStyle w:val="TableBody"/>
              <w:jc w:val="center"/>
              <w:rPr>
                <w:sz w:val="22"/>
                <w:szCs w:val="22"/>
              </w:rPr>
            </w:pPr>
            <w:r>
              <w:rPr>
                <w:sz w:val="22"/>
                <w:szCs w:val="22"/>
              </w:rPr>
              <w:t>***</w:t>
            </w:r>
          </w:p>
        </w:tc>
        <w:tc>
          <w:tcPr>
            <w:tcW w:w="1012" w:type="dxa"/>
            <w:shd w:val="clear" w:color="auto" w:fill="auto"/>
            <w:noWrap/>
            <w:hideMark/>
          </w:tcPr>
          <w:p w14:paraId="3E98D36E" w14:textId="77777777" w:rsidR="0035031A" w:rsidRPr="001928EA" w:rsidRDefault="0035031A" w:rsidP="00D30CC1">
            <w:pPr>
              <w:pStyle w:val="TableBody"/>
              <w:jc w:val="center"/>
              <w:rPr>
                <w:sz w:val="22"/>
                <w:szCs w:val="22"/>
              </w:rPr>
            </w:pPr>
            <w:r>
              <w:rPr>
                <w:sz w:val="22"/>
                <w:szCs w:val="22"/>
              </w:rPr>
              <w:t>+</w:t>
            </w:r>
          </w:p>
        </w:tc>
        <w:tc>
          <w:tcPr>
            <w:tcW w:w="998" w:type="dxa"/>
            <w:shd w:val="clear" w:color="auto" w:fill="auto"/>
            <w:noWrap/>
            <w:hideMark/>
          </w:tcPr>
          <w:p w14:paraId="07F3EA5F" w14:textId="77777777" w:rsidR="0035031A" w:rsidRPr="001928EA" w:rsidRDefault="0035031A" w:rsidP="00D30CC1">
            <w:pPr>
              <w:pStyle w:val="TableBody"/>
              <w:jc w:val="center"/>
              <w:rPr>
                <w:sz w:val="22"/>
                <w:szCs w:val="22"/>
              </w:rPr>
            </w:pPr>
          </w:p>
        </w:tc>
        <w:tc>
          <w:tcPr>
            <w:tcW w:w="998" w:type="dxa"/>
            <w:shd w:val="clear" w:color="auto" w:fill="auto"/>
            <w:noWrap/>
            <w:hideMark/>
          </w:tcPr>
          <w:p w14:paraId="3372F5F6" w14:textId="77777777" w:rsidR="0035031A" w:rsidRPr="001928EA" w:rsidRDefault="0035031A" w:rsidP="00D30CC1">
            <w:pPr>
              <w:pStyle w:val="TableBody"/>
              <w:jc w:val="center"/>
              <w:rPr>
                <w:sz w:val="22"/>
                <w:szCs w:val="22"/>
              </w:rPr>
            </w:pPr>
          </w:p>
        </w:tc>
        <w:tc>
          <w:tcPr>
            <w:tcW w:w="998" w:type="dxa"/>
            <w:shd w:val="clear" w:color="auto" w:fill="auto"/>
            <w:noWrap/>
            <w:hideMark/>
          </w:tcPr>
          <w:p w14:paraId="5C52A1BA" w14:textId="77777777" w:rsidR="0035031A" w:rsidRPr="001928EA" w:rsidRDefault="0035031A" w:rsidP="00D30CC1">
            <w:pPr>
              <w:pStyle w:val="TableBody"/>
              <w:jc w:val="center"/>
              <w:rPr>
                <w:sz w:val="22"/>
                <w:szCs w:val="22"/>
              </w:rPr>
            </w:pPr>
          </w:p>
        </w:tc>
        <w:tc>
          <w:tcPr>
            <w:tcW w:w="1297" w:type="dxa"/>
            <w:shd w:val="clear" w:color="auto" w:fill="auto"/>
            <w:noWrap/>
            <w:hideMark/>
          </w:tcPr>
          <w:p w14:paraId="691341B9" w14:textId="77777777" w:rsidR="0035031A" w:rsidRPr="001928EA" w:rsidRDefault="0035031A" w:rsidP="00D30CC1">
            <w:pPr>
              <w:pStyle w:val="TableBody"/>
              <w:jc w:val="center"/>
              <w:rPr>
                <w:sz w:val="22"/>
                <w:szCs w:val="22"/>
              </w:rPr>
            </w:pPr>
          </w:p>
        </w:tc>
      </w:tr>
      <w:tr w:rsidR="0035031A" w:rsidRPr="00B17730" w14:paraId="2ECBC6D5" w14:textId="77777777" w:rsidTr="00D30CC1">
        <w:trPr>
          <w:trHeight w:val="320"/>
        </w:trPr>
        <w:tc>
          <w:tcPr>
            <w:tcW w:w="2340" w:type="dxa"/>
            <w:shd w:val="clear" w:color="auto" w:fill="auto"/>
            <w:noWrap/>
            <w:hideMark/>
          </w:tcPr>
          <w:p w14:paraId="35F53FCE" w14:textId="77777777" w:rsidR="0035031A" w:rsidRPr="001928EA" w:rsidRDefault="0035031A" w:rsidP="00D30CC1">
            <w:pPr>
              <w:pStyle w:val="TableBody"/>
              <w:ind w:firstLine="343"/>
              <w:rPr>
                <w:sz w:val="22"/>
                <w:szCs w:val="22"/>
              </w:rPr>
            </w:pPr>
            <w:r w:rsidRPr="001928EA">
              <w:rPr>
                <w:sz w:val="22"/>
                <w:szCs w:val="22"/>
              </w:rPr>
              <w:t>AWC</w:t>
            </w:r>
          </w:p>
        </w:tc>
        <w:tc>
          <w:tcPr>
            <w:tcW w:w="720" w:type="dxa"/>
            <w:shd w:val="clear" w:color="auto" w:fill="auto"/>
            <w:noWrap/>
            <w:hideMark/>
          </w:tcPr>
          <w:p w14:paraId="1C9DA245" w14:textId="77777777" w:rsidR="0035031A" w:rsidRPr="001928EA" w:rsidRDefault="0035031A" w:rsidP="00D30CC1">
            <w:pPr>
              <w:pStyle w:val="TableBody"/>
              <w:rPr>
                <w:sz w:val="22"/>
                <w:szCs w:val="22"/>
              </w:rPr>
            </w:pPr>
          </w:p>
        </w:tc>
        <w:tc>
          <w:tcPr>
            <w:tcW w:w="997" w:type="dxa"/>
            <w:shd w:val="clear" w:color="auto" w:fill="auto"/>
            <w:noWrap/>
            <w:hideMark/>
          </w:tcPr>
          <w:p w14:paraId="66670223" w14:textId="77777777" w:rsidR="0035031A" w:rsidRPr="001928EA" w:rsidRDefault="0035031A" w:rsidP="00D30CC1">
            <w:pPr>
              <w:pStyle w:val="TableBody"/>
              <w:jc w:val="center"/>
              <w:rPr>
                <w:sz w:val="22"/>
                <w:szCs w:val="22"/>
              </w:rPr>
            </w:pPr>
            <w:r>
              <w:rPr>
                <w:sz w:val="22"/>
                <w:szCs w:val="22"/>
              </w:rPr>
              <w:t>***</w:t>
            </w:r>
          </w:p>
        </w:tc>
        <w:tc>
          <w:tcPr>
            <w:tcW w:w="1012" w:type="dxa"/>
            <w:shd w:val="clear" w:color="auto" w:fill="auto"/>
            <w:noWrap/>
            <w:hideMark/>
          </w:tcPr>
          <w:p w14:paraId="18C9E716" w14:textId="77777777" w:rsidR="0035031A" w:rsidRPr="001928EA" w:rsidRDefault="0035031A" w:rsidP="00D30CC1">
            <w:pPr>
              <w:pStyle w:val="TableBody"/>
              <w:jc w:val="center"/>
              <w:rPr>
                <w:sz w:val="22"/>
                <w:szCs w:val="22"/>
              </w:rPr>
            </w:pPr>
            <w:r w:rsidRPr="001928EA">
              <w:rPr>
                <w:sz w:val="22"/>
                <w:szCs w:val="22"/>
              </w:rPr>
              <w:t>***</w:t>
            </w:r>
          </w:p>
        </w:tc>
        <w:tc>
          <w:tcPr>
            <w:tcW w:w="998" w:type="dxa"/>
            <w:shd w:val="clear" w:color="auto" w:fill="auto"/>
            <w:noWrap/>
            <w:hideMark/>
          </w:tcPr>
          <w:p w14:paraId="14B2FFD3" w14:textId="77777777" w:rsidR="0035031A" w:rsidRPr="001928EA" w:rsidRDefault="0035031A" w:rsidP="00D30CC1">
            <w:pPr>
              <w:pStyle w:val="TableBody"/>
              <w:jc w:val="center"/>
              <w:rPr>
                <w:sz w:val="22"/>
                <w:szCs w:val="22"/>
              </w:rPr>
            </w:pPr>
          </w:p>
        </w:tc>
        <w:tc>
          <w:tcPr>
            <w:tcW w:w="998" w:type="dxa"/>
            <w:shd w:val="clear" w:color="auto" w:fill="auto"/>
            <w:noWrap/>
            <w:hideMark/>
          </w:tcPr>
          <w:p w14:paraId="320D0A69" w14:textId="77777777" w:rsidR="0035031A" w:rsidRPr="001928EA" w:rsidRDefault="0035031A" w:rsidP="00D30CC1">
            <w:pPr>
              <w:pStyle w:val="TableBody"/>
              <w:jc w:val="center"/>
              <w:rPr>
                <w:sz w:val="22"/>
                <w:szCs w:val="22"/>
              </w:rPr>
            </w:pPr>
          </w:p>
        </w:tc>
        <w:tc>
          <w:tcPr>
            <w:tcW w:w="998" w:type="dxa"/>
            <w:shd w:val="clear" w:color="auto" w:fill="auto"/>
            <w:noWrap/>
            <w:hideMark/>
          </w:tcPr>
          <w:p w14:paraId="39551FEF" w14:textId="77777777" w:rsidR="0035031A" w:rsidRPr="001928EA" w:rsidRDefault="0035031A" w:rsidP="00D30CC1">
            <w:pPr>
              <w:pStyle w:val="TableBody"/>
              <w:jc w:val="center"/>
              <w:rPr>
                <w:sz w:val="22"/>
                <w:szCs w:val="22"/>
              </w:rPr>
            </w:pPr>
          </w:p>
        </w:tc>
        <w:tc>
          <w:tcPr>
            <w:tcW w:w="1297" w:type="dxa"/>
            <w:shd w:val="clear" w:color="auto" w:fill="auto"/>
            <w:noWrap/>
            <w:hideMark/>
          </w:tcPr>
          <w:p w14:paraId="11B6D9BC" w14:textId="77777777" w:rsidR="0035031A" w:rsidRPr="001928EA" w:rsidRDefault="0035031A" w:rsidP="00D30CC1">
            <w:pPr>
              <w:pStyle w:val="TableBody"/>
              <w:jc w:val="center"/>
              <w:rPr>
                <w:sz w:val="22"/>
                <w:szCs w:val="22"/>
              </w:rPr>
            </w:pPr>
          </w:p>
        </w:tc>
      </w:tr>
      <w:tr w:rsidR="0035031A" w:rsidRPr="00B17730" w14:paraId="2BD8A7EE" w14:textId="77777777" w:rsidTr="00D30CC1">
        <w:trPr>
          <w:trHeight w:val="320"/>
        </w:trPr>
        <w:tc>
          <w:tcPr>
            <w:tcW w:w="2340" w:type="dxa"/>
            <w:shd w:val="clear" w:color="auto" w:fill="auto"/>
            <w:noWrap/>
            <w:hideMark/>
          </w:tcPr>
          <w:p w14:paraId="5A97A26F" w14:textId="77777777" w:rsidR="0035031A" w:rsidRPr="00FF64DB" w:rsidRDefault="0035031A" w:rsidP="00D30CC1">
            <w:pPr>
              <w:pStyle w:val="TableBody"/>
              <w:rPr>
                <w:i/>
                <w:iCs/>
                <w:sz w:val="22"/>
                <w:szCs w:val="22"/>
              </w:rPr>
            </w:pPr>
            <w:r w:rsidRPr="00FF64DB">
              <w:rPr>
                <w:i/>
                <w:iCs/>
                <w:sz w:val="22"/>
                <w:szCs w:val="22"/>
              </w:rPr>
              <w:t>Crops</w:t>
            </w:r>
          </w:p>
        </w:tc>
        <w:tc>
          <w:tcPr>
            <w:tcW w:w="720" w:type="dxa"/>
            <w:shd w:val="clear" w:color="auto" w:fill="auto"/>
            <w:noWrap/>
            <w:hideMark/>
          </w:tcPr>
          <w:p w14:paraId="063F59FD" w14:textId="77777777" w:rsidR="0035031A" w:rsidRPr="001928EA" w:rsidRDefault="0035031A" w:rsidP="00D30CC1">
            <w:pPr>
              <w:pStyle w:val="TableBody"/>
              <w:rPr>
                <w:sz w:val="22"/>
                <w:szCs w:val="22"/>
              </w:rPr>
            </w:pPr>
          </w:p>
        </w:tc>
        <w:tc>
          <w:tcPr>
            <w:tcW w:w="997" w:type="dxa"/>
            <w:shd w:val="clear" w:color="auto" w:fill="auto"/>
            <w:noWrap/>
            <w:hideMark/>
          </w:tcPr>
          <w:p w14:paraId="476BF455" w14:textId="77777777" w:rsidR="0035031A" w:rsidRPr="001928EA" w:rsidRDefault="0035031A" w:rsidP="00D30CC1">
            <w:pPr>
              <w:pStyle w:val="TableBody"/>
              <w:jc w:val="center"/>
              <w:rPr>
                <w:sz w:val="22"/>
                <w:szCs w:val="22"/>
              </w:rPr>
            </w:pPr>
          </w:p>
        </w:tc>
        <w:tc>
          <w:tcPr>
            <w:tcW w:w="1012" w:type="dxa"/>
            <w:shd w:val="clear" w:color="auto" w:fill="auto"/>
            <w:noWrap/>
            <w:hideMark/>
          </w:tcPr>
          <w:p w14:paraId="13894E47" w14:textId="77777777" w:rsidR="0035031A" w:rsidRPr="001928EA" w:rsidRDefault="0035031A" w:rsidP="00D30CC1">
            <w:pPr>
              <w:pStyle w:val="TableBody"/>
              <w:jc w:val="center"/>
              <w:rPr>
                <w:sz w:val="22"/>
                <w:szCs w:val="22"/>
              </w:rPr>
            </w:pPr>
          </w:p>
        </w:tc>
        <w:tc>
          <w:tcPr>
            <w:tcW w:w="998" w:type="dxa"/>
            <w:shd w:val="clear" w:color="auto" w:fill="auto"/>
            <w:noWrap/>
            <w:hideMark/>
          </w:tcPr>
          <w:p w14:paraId="158CB4C4" w14:textId="77777777" w:rsidR="0035031A" w:rsidRPr="001928EA" w:rsidRDefault="0035031A" w:rsidP="00D30CC1">
            <w:pPr>
              <w:pStyle w:val="TableBody"/>
              <w:jc w:val="center"/>
              <w:rPr>
                <w:sz w:val="22"/>
                <w:szCs w:val="22"/>
              </w:rPr>
            </w:pPr>
          </w:p>
        </w:tc>
        <w:tc>
          <w:tcPr>
            <w:tcW w:w="998" w:type="dxa"/>
            <w:shd w:val="clear" w:color="auto" w:fill="auto"/>
            <w:noWrap/>
            <w:hideMark/>
          </w:tcPr>
          <w:p w14:paraId="51FF74CE" w14:textId="77777777" w:rsidR="0035031A" w:rsidRPr="001928EA" w:rsidRDefault="0035031A" w:rsidP="00D30CC1">
            <w:pPr>
              <w:pStyle w:val="TableBody"/>
              <w:jc w:val="center"/>
              <w:rPr>
                <w:sz w:val="22"/>
                <w:szCs w:val="22"/>
              </w:rPr>
            </w:pPr>
          </w:p>
        </w:tc>
        <w:tc>
          <w:tcPr>
            <w:tcW w:w="998" w:type="dxa"/>
            <w:shd w:val="clear" w:color="auto" w:fill="auto"/>
            <w:noWrap/>
            <w:hideMark/>
          </w:tcPr>
          <w:p w14:paraId="5030E61E" w14:textId="77777777" w:rsidR="0035031A" w:rsidRPr="001928EA" w:rsidRDefault="0035031A" w:rsidP="00D30CC1">
            <w:pPr>
              <w:pStyle w:val="TableBody"/>
              <w:jc w:val="center"/>
              <w:rPr>
                <w:sz w:val="22"/>
                <w:szCs w:val="22"/>
              </w:rPr>
            </w:pPr>
          </w:p>
        </w:tc>
        <w:tc>
          <w:tcPr>
            <w:tcW w:w="1297" w:type="dxa"/>
            <w:shd w:val="clear" w:color="auto" w:fill="auto"/>
            <w:noWrap/>
            <w:hideMark/>
          </w:tcPr>
          <w:p w14:paraId="7EF8DA39" w14:textId="77777777" w:rsidR="0035031A" w:rsidRPr="001928EA" w:rsidRDefault="0035031A" w:rsidP="00D30CC1">
            <w:pPr>
              <w:pStyle w:val="TableBody"/>
              <w:jc w:val="center"/>
              <w:rPr>
                <w:sz w:val="22"/>
                <w:szCs w:val="22"/>
              </w:rPr>
            </w:pPr>
          </w:p>
        </w:tc>
      </w:tr>
      <w:tr w:rsidR="0035031A" w:rsidRPr="00B17730" w14:paraId="54D52B21" w14:textId="77777777" w:rsidTr="00D30CC1">
        <w:trPr>
          <w:trHeight w:val="320"/>
        </w:trPr>
        <w:tc>
          <w:tcPr>
            <w:tcW w:w="2340" w:type="dxa"/>
            <w:shd w:val="clear" w:color="auto" w:fill="auto"/>
            <w:noWrap/>
            <w:hideMark/>
          </w:tcPr>
          <w:p w14:paraId="31AF2C9B" w14:textId="77777777" w:rsidR="0035031A" w:rsidRPr="001928EA" w:rsidRDefault="0035031A" w:rsidP="00D30CC1">
            <w:pPr>
              <w:pStyle w:val="TableBody"/>
              <w:ind w:firstLine="343"/>
              <w:rPr>
                <w:sz w:val="22"/>
                <w:szCs w:val="22"/>
              </w:rPr>
            </w:pPr>
            <w:r w:rsidRPr="001928EA">
              <w:rPr>
                <w:sz w:val="22"/>
                <w:szCs w:val="22"/>
              </w:rPr>
              <w:t>Corn</w:t>
            </w:r>
          </w:p>
        </w:tc>
        <w:tc>
          <w:tcPr>
            <w:tcW w:w="720" w:type="dxa"/>
            <w:shd w:val="clear" w:color="auto" w:fill="auto"/>
            <w:noWrap/>
            <w:hideMark/>
          </w:tcPr>
          <w:p w14:paraId="284EF34D" w14:textId="77777777" w:rsidR="0035031A" w:rsidRPr="001928EA" w:rsidRDefault="0035031A" w:rsidP="00D30CC1">
            <w:pPr>
              <w:pStyle w:val="TableBody"/>
              <w:rPr>
                <w:sz w:val="22"/>
                <w:szCs w:val="22"/>
              </w:rPr>
            </w:pPr>
          </w:p>
        </w:tc>
        <w:tc>
          <w:tcPr>
            <w:tcW w:w="997" w:type="dxa"/>
            <w:shd w:val="clear" w:color="auto" w:fill="auto"/>
            <w:noWrap/>
            <w:hideMark/>
          </w:tcPr>
          <w:p w14:paraId="77D8A544" w14:textId="77777777" w:rsidR="0035031A" w:rsidRPr="001928EA" w:rsidRDefault="0035031A" w:rsidP="00D30CC1">
            <w:pPr>
              <w:pStyle w:val="TableBody"/>
              <w:jc w:val="center"/>
              <w:rPr>
                <w:sz w:val="22"/>
                <w:szCs w:val="22"/>
              </w:rPr>
            </w:pPr>
            <w:r>
              <w:rPr>
                <w:sz w:val="22"/>
                <w:szCs w:val="22"/>
              </w:rPr>
              <w:t>***</w:t>
            </w:r>
          </w:p>
        </w:tc>
        <w:tc>
          <w:tcPr>
            <w:tcW w:w="1012" w:type="dxa"/>
            <w:shd w:val="clear" w:color="auto" w:fill="auto"/>
            <w:noWrap/>
            <w:hideMark/>
          </w:tcPr>
          <w:p w14:paraId="4D4908CE" w14:textId="77777777" w:rsidR="0035031A" w:rsidRPr="001928EA" w:rsidRDefault="0035031A" w:rsidP="00D30CC1">
            <w:pPr>
              <w:pStyle w:val="TableBody"/>
              <w:jc w:val="center"/>
              <w:rPr>
                <w:sz w:val="22"/>
                <w:szCs w:val="22"/>
              </w:rPr>
            </w:pPr>
          </w:p>
        </w:tc>
        <w:tc>
          <w:tcPr>
            <w:tcW w:w="998" w:type="dxa"/>
            <w:shd w:val="clear" w:color="auto" w:fill="auto"/>
            <w:noWrap/>
            <w:hideMark/>
          </w:tcPr>
          <w:p w14:paraId="05E39E48" w14:textId="77777777" w:rsidR="0035031A" w:rsidRPr="001928EA" w:rsidRDefault="0035031A" w:rsidP="00D30CC1">
            <w:pPr>
              <w:pStyle w:val="TableBody"/>
              <w:jc w:val="center"/>
              <w:rPr>
                <w:sz w:val="22"/>
                <w:szCs w:val="22"/>
              </w:rPr>
            </w:pPr>
          </w:p>
        </w:tc>
        <w:tc>
          <w:tcPr>
            <w:tcW w:w="998" w:type="dxa"/>
            <w:shd w:val="clear" w:color="auto" w:fill="auto"/>
            <w:noWrap/>
            <w:hideMark/>
          </w:tcPr>
          <w:p w14:paraId="083BE2A9" w14:textId="77777777" w:rsidR="0035031A" w:rsidRPr="001928EA" w:rsidRDefault="0035031A" w:rsidP="00D30CC1">
            <w:pPr>
              <w:pStyle w:val="TableBody"/>
              <w:jc w:val="center"/>
              <w:rPr>
                <w:sz w:val="22"/>
                <w:szCs w:val="22"/>
              </w:rPr>
            </w:pPr>
          </w:p>
        </w:tc>
        <w:tc>
          <w:tcPr>
            <w:tcW w:w="998" w:type="dxa"/>
            <w:shd w:val="clear" w:color="auto" w:fill="auto"/>
            <w:noWrap/>
            <w:hideMark/>
          </w:tcPr>
          <w:p w14:paraId="7C733134" w14:textId="77777777" w:rsidR="0035031A" w:rsidRPr="001928EA" w:rsidRDefault="0035031A" w:rsidP="00D30CC1">
            <w:pPr>
              <w:pStyle w:val="TableBody"/>
              <w:jc w:val="center"/>
              <w:rPr>
                <w:sz w:val="22"/>
                <w:szCs w:val="22"/>
              </w:rPr>
            </w:pPr>
          </w:p>
        </w:tc>
        <w:tc>
          <w:tcPr>
            <w:tcW w:w="1297" w:type="dxa"/>
            <w:shd w:val="clear" w:color="auto" w:fill="auto"/>
            <w:noWrap/>
            <w:hideMark/>
          </w:tcPr>
          <w:p w14:paraId="6A33807D" w14:textId="77777777" w:rsidR="0035031A" w:rsidRPr="001928EA" w:rsidRDefault="0035031A" w:rsidP="00D30CC1">
            <w:pPr>
              <w:pStyle w:val="TableBody"/>
              <w:jc w:val="center"/>
              <w:rPr>
                <w:sz w:val="22"/>
                <w:szCs w:val="22"/>
              </w:rPr>
            </w:pPr>
          </w:p>
        </w:tc>
      </w:tr>
      <w:tr w:rsidR="0035031A" w:rsidRPr="00B17730" w14:paraId="25D59027" w14:textId="77777777" w:rsidTr="00D30CC1">
        <w:trPr>
          <w:trHeight w:val="320"/>
        </w:trPr>
        <w:tc>
          <w:tcPr>
            <w:tcW w:w="2340" w:type="dxa"/>
            <w:shd w:val="clear" w:color="auto" w:fill="auto"/>
            <w:noWrap/>
            <w:hideMark/>
          </w:tcPr>
          <w:p w14:paraId="10E46429" w14:textId="77777777" w:rsidR="0035031A" w:rsidRPr="001928EA" w:rsidRDefault="0035031A" w:rsidP="00D30CC1">
            <w:pPr>
              <w:pStyle w:val="TableBody"/>
              <w:ind w:firstLine="343"/>
              <w:rPr>
                <w:sz w:val="22"/>
                <w:szCs w:val="22"/>
              </w:rPr>
            </w:pPr>
            <w:r w:rsidRPr="001928EA">
              <w:rPr>
                <w:sz w:val="22"/>
                <w:szCs w:val="22"/>
              </w:rPr>
              <w:t>Soybean</w:t>
            </w:r>
          </w:p>
        </w:tc>
        <w:tc>
          <w:tcPr>
            <w:tcW w:w="720" w:type="dxa"/>
            <w:shd w:val="clear" w:color="auto" w:fill="auto"/>
            <w:noWrap/>
            <w:hideMark/>
          </w:tcPr>
          <w:p w14:paraId="24E34433" w14:textId="77777777" w:rsidR="0035031A" w:rsidRPr="001928EA" w:rsidRDefault="0035031A" w:rsidP="00D30CC1">
            <w:pPr>
              <w:pStyle w:val="TableBody"/>
              <w:rPr>
                <w:sz w:val="22"/>
                <w:szCs w:val="22"/>
              </w:rPr>
            </w:pPr>
          </w:p>
        </w:tc>
        <w:tc>
          <w:tcPr>
            <w:tcW w:w="997" w:type="dxa"/>
            <w:shd w:val="clear" w:color="auto" w:fill="auto"/>
            <w:noWrap/>
            <w:hideMark/>
          </w:tcPr>
          <w:p w14:paraId="3DBC210F" w14:textId="77777777" w:rsidR="0035031A" w:rsidRPr="001928EA" w:rsidRDefault="0035031A" w:rsidP="00D30CC1">
            <w:pPr>
              <w:pStyle w:val="TableBody"/>
              <w:jc w:val="center"/>
              <w:rPr>
                <w:sz w:val="22"/>
                <w:szCs w:val="22"/>
              </w:rPr>
            </w:pPr>
          </w:p>
        </w:tc>
        <w:tc>
          <w:tcPr>
            <w:tcW w:w="1012" w:type="dxa"/>
            <w:shd w:val="clear" w:color="auto" w:fill="auto"/>
            <w:noWrap/>
            <w:hideMark/>
          </w:tcPr>
          <w:p w14:paraId="754D0FB1" w14:textId="77777777" w:rsidR="0035031A" w:rsidRPr="001928EA" w:rsidRDefault="0035031A" w:rsidP="00D30CC1">
            <w:pPr>
              <w:pStyle w:val="TableBody"/>
              <w:jc w:val="center"/>
              <w:rPr>
                <w:sz w:val="22"/>
                <w:szCs w:val="22"/>
              </w:rPr>
            </w:pPr>
          </w:p>
        </w:tc>
        <w:tc>
          <w:tcPr>
            <w:tcW w:w="998" w:type="dxa"/>
            <w:shd w:val="clear" w:color="auto" w:fill="auto"/>
            <w:noWrap/>
            <w:hideMark/>
          </w:tcPr>
          <w:p w14:paraId="285FF1F0" w14:textId="77777777" w:rsidR="0035031A" w:rsidRPr="001928EA" w:rsidRDefault="0035031A" w:rsidP="00D30CC1">
            <w:pPr>
              <w:pStyle w:val="TableBody"/>
              <w:jc w:val="center"/>
              <w:rPr>
                <w:sz w:val="22"/>
                <w:szCs w:val="22"/>
              </w:rPr>
            </w:pPr>
          </w:p>
        </w:tc>
        <w:tc>
          <w:tcPr>
            <w:tcW w:w="998" w:type="dxa"/>
            <w:shd w:val="clear" w:color="auto" w:fill="auto"/>
            <w:noWrap/>
            <w:hideMark/>
          </w:tcPr>
          <w:p w14:paraId="03D148C0" w14:textId="77777777" w:rsidR="0035031A" w:rsidRPr="001928EA" w:rsidRDefault="0035031A" w:rsidP="00D30CC1">
            <w:pPr>
              <w:pStyle w:val="TableBody"/>
              <w:jc w:val="center"/>
              <w:rPr>
                <w:sz w:val="22"/>
                <w:szCs w:val="22"/>
              </w:rPr>
            </w:pPr>
          </w:p>
        </w:tc>
        <w:tc>
          <w:tcPr>
            <w:tcW w:w="998" w:type="dxa"/>
            <w:shd w:val="clear" w:color="auto" w:fill="auto"/>
            <w:noWrap/>
            <w:hideMark/>
          </w:tcPr>
          <w:p w14:paraId="0EE0A8F2" w14:textId="77777777" w:rsidR="0035031A" w:rsidRPr="001928EA" w:rsidRDefault="0035031A" w:rsidP="00D30CC1">
            <w:pPr>
              <w:pStyle w:val="TableBody"/>
              <w:jc w:val="center"/>
              <w:rPr>
                <w:sz w:val="22"/>
                <w:szCs w:val="22"/>
              </w:rPr>
            </w:pPr>
          </w:p>
        </w:tc>
        <w:tc>
          <w:tcPr>
            <w:tcW w:w="1297" w:type="dxa"/>
            <w:shd w:val="clear" w:color="auto" w:fill="auto"/>
            <w:noWrap/>
            <w:hideMark/>
          </w:tcPr>
          <w:p w14:paraId="5BBE126C" w14:textId="77777777" w:rsidR="0035031A" w:rsidRPr="001928EA" w:rsidRDefault="0035031A" w:rsidP="00D30CC1">
            <w:pPr>
              <w:pStyle w:val="TableBody"/>
              <w:jc w:val="center"/>
              <w:rPr>
                <w:sz w:val="22"/>
                <w:szCs w:val="22"/>
              </w:rPr>
            </w:pPr>
          </w:p>
        </w:tc>
      </w:tr>
      <w:tr w:rsidR="0035031A" w:rsidRPr="00B17730" w14:paraId="25EE0900" w14:textId="77777777" w:rsidTr="00D30CC1">
        <w:trPr>
          <w:trHeight w:val="320"/>
        </w:trPr>
        <w:tc>
          <w:tcPr>
            <w:tcW w:w="3060" w:type="dxa"/>
            <w:gridSpan w:val="2"/>
            <w:shd w:val="clear" w:color="auto" w:fill="auto"/>
            <w:noWrap/>
            <w:hideMark/>
          </w:tcPr>
          <w:p w14:paraId="0D07F69F" w14:textId="77777777" w:rsidR="0035031A" w:rsidRPr="00FF64DB" w:rsidRDefault="0035031A" w:rsidP="00D30CC1">
            <w:pPr>
              <w:pStyle w:val="TableBody"/>
              <w:rPr>
                <w:i/>
                <w:iCs/>
                <w:sz w:val="22"/>
                <w:szCs w:val="22"/>
              </w:rPr>
            </w:pPr>
            <w:r w:rsidRPr="00FF64DB">
              <w:rPr>
                <w:i/>
                <w:iCs/>
                <w:sz w:val="22"/>
                <w:szCs w:val="22"/>
              </w:rPr>
              <w:t>Soil health assessment scores</w:t>
            </w:r>
          </w:p>
        </w:tc>
        <w:tc>
          <w:tcPr>
            <w:tcW w:w="997" w:type="dxa"/>
            <w:shd w:val="clear" w:color="auto" w:fill="auto"/>
            <w:noWrap/>
            <w:hideMark/>
          </w:tcPr>
          <w:p w14:paraId="058CEC0F" w14:textId="77777777" w:rsidR="0035031A" w:rsidRPr="001928EA" w:rsidRDefault="0035031A" w:rsidP="00D30CC1">
            <w:pPr>
              <w:pStyle w:val="TableBody"/>
              <w:jc w:val="center"/>
              <w:rPr>
                <w:sz w:val="22"/>
                <w:szCs w:val="22"/>
              </w:rPr>
            </w:pPr>
          </w:p>
        </w:tc>
        <w:tc>
          <w:tcPr>
            <w:tcW w:w="1012" w:type="dxa"/>
            <w:shd w:val="clear" w:color="auto" w:fill="auto"/>
            <w:noWrap/>
            <w:hideMark/>
          </w:tcPr>
          <w:p w14:paraId="0A48BB11" w14:textId="77777777" w:rsidR="0035031A" w:rsidRPr="001928EA" w:rsidRDefault="0035031A" w:rsidP="00D30CC1">
            <w:pPr>
              <w:pStyle w:val="TableBody"/>
              <w:jc w:val="center"/>
              <w:rPr>
                <w:sz w:val="22"/>
                <w:szCs w:val="22"/>
              </w:rPr>
            </w:pPr>
          </w:p>
        </w:tc>
        <w:tc>
          <w:tcPr>
            <w:tcW w:w="998" w:type="dxa"/>
            <w:shd w:val="clear" w:color="auto" w:fill="auto"/>
            <w:noWrap/>
            <w:hideMark/>
          </w:tcPr>
          <w:p w14:paraId="233D36D2" w14:textId="77777777" w:rsidR="0035031A" w:rsidRPr="001928EA" w:rsidRDefault="0035031A" w:rsidP="00D30CC1">
            <w:pPr>
              <w:pStyle w:val="TableBody"/>
              <w:jc w:val="center"/>
              <w:rPr>
                <w:sz w:val="22"/>
                <w:szCs w:val="22"/>
              </w:rPr>
            </w:pPr>
          </w:p>
        </w:tc>
        <w:tc>
          <w:tcPr>
            <w:tcW w:w="998" w:type="dxa"/>
            <w:shd w:val="clear" w:color="auto" w:fill="auto"/>
            <w:noWrap/>
            <w:hideMark/>
          </w:tcPr>
          <w:p w14:paraId="7E6CE03D" w14:textId="77777777" w:rsidR="0035031A" w:rsidRPr="001928EA" w:rsidRDefault="0035031A" w:rsidP="00D30CC1">
            <w:pPr>
              <w:pStyle w:val="TableBody"/>
              <w:jc w:val="center"/>
              <w:rPr>
                <w:sz w:val="22"/>
                <w:szCs w:val="22"/>
              </w:rPr>
            </w:pPr>
          </w:p>
        </w:tc>
        <w:tc>
          <w:tcPr>
            <w:tcW w:w="998" w:type="dxa"/>
            <w:shd w:val="clear" w:color="auto" w:fill="auto"/>
            <w:noWrap/>
            <w:hideMark/>
          </w:tcPr>
          <w:p w14:paraId="31E38F14" w14:textId="77777777" w:rsidR="0035031A" w:rsidRPr="001928EA" w:rsidRDefault="0035031A" w:rsidP="00D30CC1">
            <w:pPr>
              <w:pStyle w:val="TableBody"/>
              <w:jc w:val="center"/>
              <w:rPr>
                <w:sz w:val="22"/>
                <w:szCs w:val="22"/>
              </w:rPr>
            </w:pPr>
          </w:p>
        </w:tc>
        <w:tc>
          <w:tcPr>
            <w:tcW w:w="1297" w:type="dxa"/>
            <w:shd w:val="clear" w:color="auto" w:fill="auto"/>
            <w:noWrap/>
            <w:hideMark/>
          </w:tcPr>
          <w:p w14:paraId="01F4C31E" w14:textId="77777777" w:rsidR="0035031A" w:rsidRPr="001928EA" w:rsidRDefault="0035031A" w:rsidP="00D30CC1">
            <w:pPr>
              <w:pStyle w:val="TableBody"/>
              <w:jc w:val="center"/>
              <w:rPr>
                <w:sz w:val="22"/>
                <w:szCs w:val="22"/>
              </w:rPr>
            </w:pPr>
          </w:p>
        </w:tc>
      </w:tr>
      <w:tr w:rsidR="0035031A" w:rsidRPr="00B17730" w14:paraId="288B4991" w14:textId="77777777" w:rsidTr="00D30CC1">
        <w:trPr>
          <w:trHeight w:val="320"/>
        </w:trPr>
        <w:tc>
          <w:tcPr>
            <w:tcW w:w="2340" w:type="dxa"/>
            <w:shd w:val="clear" w:color="auto" w:fill="auto"/>
            <w:noWrap/>
            <w:hideMark/>
          </w:tcPr>
          <w:p w14:paraId="37DC1A32" w14:textId="77777777" w:rsidR="0035031A" w:rsidRPr="001928EA" w:rsidRDefault="0035031A" w:rsidP="00D30CC1">
            <w:pPr>
              <w:pStyle w:val="TableBody"/>
              <w:ind w:firstLine="343"/>
              <w:rPr>
                <w:sz w:val="22"/>
                <w:szCs w:val="22"/>
              </w:rPr>
            </w:pPr>
            <w:r w:rsidRPr="001928EA">
              <w:rPr>
                <w:sz w:val="22"/>
                <w:szCs w:val="22"/>
              </w:rPr>
              <w:t>SMAF</w:t>
            </w:r>
          </w:p>
        </w:tc>
        <w:tc>
          <w:tcPr>
            <w:tcW w:w="720" w:type="dxa"/>
            <w:shd w:val="clear" w:color="auto" w:fill="auto"/>
            <w:noWrap/>
            <w:hideMark/>
          </w:tcPr>
          <w:p w14:paraId="11E5CECD" w14:textId="77777777" w:rsidR="0035031A" w:rsidRPr="001928EA" w:rsidRDefault="0035031A" w:rsidP="00D30CC1">
            <w:pPr>
              <w:pStyle w:val="TableBody"/>
              <w:rPr>
                <w:sz w:val="22"/>
                <w:szCs w:val="22"/>
              </w:rPr>
            </w:pPr>
          </w:p>
        </w:tc>
        <w:tc>
          <w:tcPr>
            <w:tcW w:w="997" w:type="dxa"/>
            <w:shd w:val="clear" w:color="auto" w:fill="auto"/>
            <w:noWrap/>
            <w:hideMark/>
          </w:tcPr>
          <w:p w14:paraId="383B51C2" w14:textId="77777777" w:rsidR="0035031A" w:rsidRPr="001928EA" w:rsidRDefault="0035031A" w:rsidP="00D30CC1">
            <w:pPr>
              <w:pStyle w:val="TableBody"/>
              <w:jc w:val="center"/>
              <w:rPr>
                <w:sz w:val="22"/>
                <w:szCs w:val="22"/>
              </w:rPr>
            </w:pPr>
            <w:r w:rsidRPr="001928EA">
              <w:rPr>
                <w:sz w:val="22"/>
                <w:szCs w:val="22"/>
              </w:rPr>
              <w:t>*</w:t>
            </w:r>
          </w:p>
        </w:tc>
        <w:tc>
          <w:tcPr>
            <w:tcW w:w="1012" w:type="dxa"/>
            <w:shd w:val="clear" w:color="auto" w:fill="auto"/>
            <w:noWrap/>
            <w:hideMark/>
          </w:tcPr>
          <w:p w14:paraId="56BC5DA9" w14:textId="77777777" w:rsidR="0035031A" w:rsidRPr="001928EA" w:rsidRDefault="0035031A" w:rsidP="00D30CC1">
            <w:pPr>
              <w:pStyle w:val="TableBody"/>
              <w:jc w:val="center"/>
              <w:rPr>
                <w:sz w:val="22"/>
                <w:szCs w:val="22"/>
              </w:rPr>
            </w:pPr>
            <w:r w:rsidRPr="001928EA">
              <w:rPr>
                <w:sz w:val="22"/>
                <w:szCs w:val="22"/>
              </w:rPr>
              <w:t>***</w:t>
            </w:r>
          </w:p>
        </w:tc>
        <w:tc>
          <w:tcPr>
            <w:tcW w:w="998" w:type="dxa"/>
            <w:shd w:val="clear" w:color="auto" w:fill="auto"/>
            <w:noWrap/>
            <w:hideMark/>
          </w:tcPr>
          <w:p w14:paraId="1362029A" w14:textId="77777777" w:rsidR="0035031A" w:rsidRPr="001928EA" w:rsidRDefault="0035031A" w:rsidP="00D30CC1">
            <w:pPr>
              <w:pStyle w:val="TableBody"/>
              <w:jc w:val="center"/>
              <w:rPr>
                <w:sz w:val="22"/>
                <w:szCs w:val="22"/>
              </w:rPr>
            </w:pPr>
          </w:p>
        </w:tc>
        <w:tc>
          <w:tcPr>
            <w:tcW w:w="998" w:type="dxa"/>
            <w:shd w:val="clear" w:color="auto" w:fill="auto"/>
            <w:noWrap/>
            <w:hideMark/>
          </w:tcPr>
          <w:p w14:paraId="320A7822" w14:textId="77777777" w:rsidR="0035031A" w:rsidRPr="001928EA" w:rsidRDefault="0035031A" w:rsidP="00D30CC1">
            <w:pPr>
              <w:pStyle w:val="TableBody"/>
              <w:jc w:val="center"/>
              <w:rPr>
                <w:sz w:val="22"/>
                <w:szCs w:val="22"/>
              </w:rPr>
            </w:pPr>
          </w:p>
        </w:tc>
        <w:tc>
          <w:tcPr>
            <w:tcW w:w="998" w:type="dxa"/>
            <w:shd w:val="clear" w:color="auto" w:fill="auto"/>
            <w:noWrap/>
            <w:hideMark/>
          </w:tcPr>
          <w:p w14:paraId="56AF6DF1" w14:textId="77777777" w:rsidR="0035031A" w:rsidRPr="001928EA" w:rsidRDefault="0035031A" w:rsidP="00D30CC1">
            <w:pPr>
              <w:pStyle w:val="TableBody"/>
              <w:jc w:val="center"/>
              <w:rPr>
                <w:sz w:val="22"/>
                <w:szCs w:val="22"/>
              </w:rPr>
            </w:pPr>
            <w:r>
              <w:rPr>
                <w:sz w:val="22"/>
                <w:szCs w:val="22"/>
              </w:rPr>
              <w:t>*</w:t>
            </w:r>
          </w:p>
        </w:tc>
        <w:tc>
          <w:tcPr>
            <w:tcW w:w="1297" w:type="dxa"/>
            <w:shd w:val="clear" w:color="auto" w:fill="auto"/>
            <w:noWrap/>
            <w:hideMark/>
          </w:tcPr>
          <w:p w14:paraId="23199C3B" w14:textId="77777777" w:rsidR="0035031A" w:rsidRPr="001928EA" w:rsidRDefault="0035031A" w:rsidP="00D30CC1">
            <w:pPr>
              <w:pStyle w:val="TableBody"/>
              <w:jc w:val="center"/>
              <w:rPr>
                <w:sz w:val="22"/>
                <w:szCs w:val="22"/>
              </w:rPr>
            </w:pPr>
          </w:p>
        </w:tc>
      </w:tr>
      <w:tr w:rsidR="0035031A" w:rsidRPr="00B17730" w14:paraId="41E19B1A" w14:textId="77777777" w:rsidTr="00D30CC1">
        <w:trPr>
          <w:trHeight w:val="320"/>
        </w:trPr>
        <w:tc>
          <w:tcPr>
            <w:tcW w:w="2340" w:type="dxa"/>
            <w:shd w:val="clear" w:color="auto" w:fill="auto"/>
            <w:noWrap/>
            <w:hideMark/>
          </w:tcPr>
          <w:p w14:paraId="02921A1E" w14:textId="77777777" w:rsidR="0035031A" w:rsidRPr="001928EA" w:rsidRDefault="0035031A" w:rsidP="00D30CC1">
            <w:pPr>
              <w:pStyle w:val="TableBody"/>
              <w:ind w:firstLine="343"/>
              <w:rPr>
                <w:sz w:val="22"/>
                <w:szCs w:val="22"/>
              </w:rPr>
            </w:pPr>
            <w:r w:rsidRPr="001928EA">
              <w:rPr>
                <w:sz w:val="22"/>
                <w:szCs w:val="22"/>
              </w:rPr>
              <w:t>CASH</w:t>
            </w:r>
          </w:p>
        </w:tc>
        <w:tc>
          <w:tcPr>
            <w:tcW w:w="720" w:type="dxa"/>
            <w:shd w:val="clear" w:color="auto" w:fill="auto"/>
            <w:noWrap/>
            <w:hideMark/>
          </w:tcPr>
          <w:p w14:paraId="3A00AD97" w14:textId="77777777" w:rsidR="0035031A" w:rsidRPr="001928EA" w:rsidRDefault="0035031A" w:rsidP="00D30CC1">
            <w:pPr>
              <w:pStyle w:val="TableBody"/>
              <w:rPr>
                <w:sz w:val="22"/>
                <w:szCs w:val="22"/>
              </w:rPr>
            </w:pPr>
            <w:r>
              <w:rPr>
                <w:sz w:val="22"/>
                <w:szCs w:val="22"/>
              </w:rPr>
              <w:t>***</w:t>
            </w:r>
          </w:p>
        </w:tc>
        <w:tc>
          <w:tcPr>
            <w:tcW w:w="997" w:type="dxa"/>
            <w:shd w:val="clear" w:color="auto" w:fill="auto"/>
            <w:noWrap/>
            <w:hideMark/>
          </w:tcPr>
          <w:p w14:paraId="471058A4" w14:textId="77777777" w:rsidR="0035031A" w:rsidRPr="001928EA" w:rsidRDefault="0035031A" w:rsidP="00D30CC1">
            <w:pPr>
              <w:pStyle w:val="TableBody"/>
              <w:jc w:val="center"/>
              <w:rPr>
                <w:sz w:val="22"/>
                <w:szCs w:val="22"/>
              </w:rPr>
            </w:pPr>
            <w:r>
              <w:rPr>
                <w:sz w:val="22"/>
                <w:szCs w:val="22"/>
              </w:rPr>
              <w:t>*</w:t>
            </w:r>
          </w:p>
        </w:tc>
        <w:tc>
          <w:tcPr>
            <w:tcW w:w="1012" w:type="dxa"/>
            <w:shd w:val="clear" w:color="auto" w:fill="auto"/>
            <w:noWrap/>
            <w:hideMark/>
          </w:tcPr>
          <w:p w14:paraId="592573CD" w14:textId="77777777" w:rsidR="0035031A" w:rsidRPr="001928EA" w:rsidRDefault="0035031A" w:rsidP="00D30CC1">
            <w:pPr>
              <w:pStyle w:val="TableBody"/>
              <w:jc w:val="center"/>
              <w:rPr>
                <w:sz w:val="22"/>
                <w:szCs w:val="22"/>
              </w:rPr>
            </w:pPr>
            <w:r w:rsidRPr="001928EA">
              <w:rPr>
                <w:sz w:val="22"/>
                <w:szCs w:val="22"/>
              </w:rPr>
              <w:t>***</w:t>
            </w:r>
          </w:p>
        </w:tc>
        <w:tc>
          <w:tcPr>
            <w:tcW w:w="998" w:type="dxa"/>
            <w:shd w:val="clear" w:color="auto" w:fill="auto"/>
            <w:noWrap/>
            <w:hideMark/>
          </w:tcPr>
          <w:p w14:paraId="0CD872B7" w14:textId="77777777" w:rsidR="0035031A" w:rsidRPr="001928EA" w:rsidRDefault="0035031A" w:rsidP="00D30CC1">
            <w:pPr>
              <w:pStyle w:val="TableBody"/>
              <w:jc w:val="center"/>
              <w:rPr>
                <w:sz w:val="22"/>
                <w:szCs w:val="22"/>
              </w:rPr>
            </w:pPr>
          </w:p>
        </w:tc>
        <w:tc>
          <w:tcPr>
            <w:tcW w:w="998" w:type="dxa"/>
            <w:shd w:val="clear" w:color="auto" w:fill="auto"/>
            <w:noWrap/>
            <w:hideMark/>
          </w:tcPr>
          <w:p w14:paraId="66B597E4" w14:textId="77777777" w:rsidR="0035031A" w:rsidRPr="001928EA" w:rsidRDefault="0035031A" w:rsidP="00D30CC1">
            <w:pPr>
              <w:pStyle w:val="TableBody"/>
              <w:jc w:val="center"/>
              <w:rPr>
                <w:sz w:val="22"/>
                <w:szCs w:val="22"/>
              </w:rPr>
            </w:pPr>
          </w:p>
        </w:tc>
        <w:tc>
          <w:tcPr>
            <w:tcW w:w="998" w:type="dxa"/>
            <w:shd w:val="clear" w:color="auto" w:fill="auto"/>
            <w:noWrap/>
            <w:hideMark/>
          </w:tcPr>
          <w:p w14:paraId="5F90F59F" w14:textId="77777777" w:rsidR="0035031A" w:rsidRPr="001928EA" w:rsidRDefault="0035031A" w:rsidP="00D30CC1">
            <w:pPr>
              <w:pStyle w:val="TableBody"/>
              <w:jc w:val="center"/>
              <w:rPr>
                <w:sz w:val="22"/>
                <w:szCs w:val="22"/>
              </w:rPr>
            </w:pPr>
            <w:r>
              <w:rPr>
                <w:sz w:val="22"/>
                <w:szCs w:val="22"/>
              </w:rPr>
              <w:t>+</w:t>
            </w:r>
          </w:p>
        </w:tc>
        <w:tc>
          <w:tcPr>
            <w:tcW w:w="1297" w:type="dxa"/>
            <w:shd w:val="clear" w:color="auto" w:fill="auto"/>
            <w:noWrap/>
            <w:hideMark/>
          </w:tcPr>
          <w:p w14:paraId="572BAEE6" w14:textId="77777777" w:rsidR="0035031A" w:rsidRPr="001928EA" w:rsidRDefault="0035031A" w:rsidP="00D30CC1">
            <w:pPr>
              <w:pStyle w:val="TableBody"/>
              <w:jc w:val="center"/>
              <w:rPr>
                <w:sz w:val="22"/>
                <w:szCs w:val="22"/>
              </w:rPr>
            </w:pPr>
          </w:p>
        </w:tc>
      </w:tr>
      <w:tr w:rsidR="0035031A" w:rsidRPr="00B17730" w14:paraId="72877A06" w14:textId="77777777" w:rsidTr="00D30CC1">
        <w:trPr>
          <w:trHeight w:val="320"/>
        </w:trPr>
        <w:tc>
          <w:tcPr>
            <w:tcW w:w="2340" w:type="dxa"/>
            <w:tcBorders>
              <w:bottom w:val="single" w:sz="12" w:space="0" w:color="auto"/>
            </w:tcBorders>
            <w:shd w:val="clear" w:color="auto" w:fill="auto"/>
            <w:noWrap/>
            <w:hideMark/>
          </w:tcPr>
          <w:p w14:paraId="0707FD5B" w14:textId="77777777" w:rsidR="0035031A" w:rsidRPr="001928EA" w:rsidRDefault="0035031A" w:rsidP="00D30CC1">
            <w:pPr>
              <w:pStyle w:val="TableBody"/>
              <w:ind w:firstLine="343"/>
              <w:rPr>
                <w:sz w:val="22"/>
                <w:szCs w:val="22"/>
              </w:rPr>
            </w:pPr>
            <w:r w:rsidRPr="001928EA">
              <w:rPr>
                <w:sz w:val="22"/>
                <w:szCs w:val="22"/>
              </w:rPr>
              <w:t>HSHT</w:t>
            </w:r>
          </w:p>
        </w:tc>
        <w:tc>
          <w:tcPr>
            <w:tcW w:w="720" w:type="dxa"/>
            <w:tcBorders>
              <w:bottom w:val="single" w:sz="12" w:space="0" w:color="auto"/>
            </w:tcBorders>
            <w:shd w:val="clear" w:color="auto" w:fill="auto"/>
            <w:noWrap/>
            <w:hideMark/>
          </w:tcPr>
          <w:p w14:paraId="588F356B" w14:textId="77777777" w:rsidR="0035031A" w:rsidRPr="001928EA" w:rsidRDefault="0035031A" w:rsidP="00D30CC1">
            <w:pPr>
              <w:pStyle w:val="TableBody"/>
              <w:rPr>
                <w:sz w:val="22"/>
                <w:szCs w:val="22"/>
              </w:rPr>
            </w:pPr>
          </w:p>
        </w:tc>
        <w:tc>
          <w:tcPr>
            <w:tcW w:w="997" w:type="dxa"/>
            <w:tcBorders>
              <w:bottom w:val="single" w:sz="12" w:space="0" w:color="auto"/>
            </w:tcBorders>
            <w:shd w:val="clear" w:color="auto" w:fill="auto"/>
            <w:noWrap/>
            <w:hideMark/>
          </w:tcPr>
          <w:p w14:paraId="09012DE7" w14:textId="77777777" w:rsidR="0035031A" w:rsidRPr="001928EA" w:rsidRDefault="0035031A" w:rsidP="00D30CC1">
            <w:pPr>
              <w:pStyle w:val="TableBody"/>
              <w:jc w:val="center"/>
              <w:rPr>
                <w:sz w:val="22"/>
                <w:szCs w:val="22"/>
              </w:rPr>
            </w:pPr>
            <w:r>
              <w:rPr>
                <w:sz w:val="22"/>
                <w:szCs w:val="22"/>
              </w:rPr>
              <w:t>*</w:t>
            </w:r>
          </w:p>
        </w:tc>
        <w:tc>
          <w:tcPr>
            <w:tcW w:w="1012" w:type="dxa"/>
            <w:tcBorders>
              <w:bottom w:val="single" w:sz="12" w:space="0" w:color="auto"/>
            </w:tcBorders>
            <w:shd w:val="clear" w:color="auto" w:fill="auto"/>
            <w:noWrap/>
            <w:hideMark/>
          </w:tcPr>
          <w:p w14:paraId="0D4ABD34" w14:textId="77777777" w:rsidR="0035031A" w:rsidRPr="001928EA" w:rsidRDefault="0035031A" w:rsidP="00D30CC1">
            <w:pPr>
              <w:pStyle w:val="TableBody"/>
              <w:jc w:val="center"/>
              <w:rPr>
                <w:sz w:val="22"/>
                <w:szCs w:val="22"/>
              </w:rPr>
            </w:pPr>
            <w:r>
              <w:rPr>
                <w:sz w:val="22"/>
                <w:szCs w:val="22"/>
              </w:rPr>
              <w:t>+</w:t>
            </w:r>
          </w:p>
        </w:tc>
        <w:tc>
          <w:tcPr>
            <w:tcW w:w="998" w:type="dxa"/>
            <w:tcBorders>
              <w:bottom w:val="single" w:sz="12" w:space="0" w:color="auto"/>
            </w:tcBorders>
            <w:shd w:val="clear" w:color="auto" w:fill="auto"/>
            <w:noWrap/>
            <w:hideMark/>
          </w:tcPr>
          <w:p w14:paraId="074935E8" w14:textId="77777777" w:rsidR="0035031A" w:rsidRPr="001928EA" w:rsidRDefault="0035031A" w:rsidP="00D30CC1">
            <w:pPr>
              <w:pStyle w:val="TableBody"/>
              <w:jc w:val="center"/>
              <w:rPr>
                <w:sz w:val="22"/>
                <w:szCs w:val="22"/>
              </w:rPr>
            </w:pPr>
          </w:p>
        </w:tc>
        <w:tc>
          <w:tcPr>
            <w:tcW w:w="998" w:type="dxa"/>
            <w:tcBorders>
              <w:bottom w:val="single" w:sz="12" w:space="0" w:color="auto"/>
            </w:tcBorders>
            <w:shd w:val="clear" w:color="auto" w:fill="auto"/>
            <w:noWrap/>
            <w:hideMark/>
          </w:tcPr>
          <w:p w14:paraId="1EA5B9BC" w14:textId="77777777" w:rsidR="0035031A" w:rsidRPr="001928EA" w:rsidRDefault="0035031A" w:rsidP="00D30CC1">
            <w:pPr>
              <w:pStyle w:val="TableBody"/>
              <w:jc w:val="center"/>
              <w:rPr>
                <w:sz w:val="22"/>
                <w:szCs w:val="22"/>
              </w:rPr>
            </w:pPr>
          </w:p>
        </w:tc>
        <w:tc>
          <w:tcPr>
            <w:tcW w:w="998" w:type="dxa"/>
            <w:tcBorders>
              <w:bottom w:val="single" w:sz="12" w:space="0" w:color="auto"/>
            </w:tcBorders>
            <w:shd w:val="clear" w:color="auto" w:fill="auto"/>
            <w:noWrap/>
            <w:hideMark/>
          </w:tcPr>
          <w:p w14:paraId="56D31A77" w14:textId="77777777" w:rsidR="0035031A" w:rsidRPr="001928EA" w:rsidRDefault="0035031A" w:rsidP="00D30CC1">
            <w:pPr>
              <w:pStyle w:val="TableBody"/>
              <w:jc w:val="center"/>
              <w:rPr>
                <w:sz w:val="22"/>
                <w:szCs w:val="22"/>
              </w:rPr>
            </w:pPr>
          </w:p>
        </w:tc>
        <w:tc>
          <w:tcPr>
            <w:tcW w:w="1297" w:type="dxa"/>
            <w:tcBorders>
              <w:bottom w:val="single" w:sz="12" w:space="0" w:color="auto"/>
            </w:tcBorders>
            <w:shd w:val="clear" w:color="auto" w:fill="auto"/>
            <w:noWrap/>
            <w:hideMark/>
          </w:tcPr>
          <w:p w14:paraId="7BAB37C5" w14:textId="77777777" w:rsidR="0035031A" w:rsidRPr="001928EA" w:rsidRDefault="0035031A" w:rsidP="00D30CC1">
            <w:pPr>
              <w:pStyle w:val="TableBody"/>
              <w:jc w:val="center"/>
              <w:rPr>
                <w:sz w:val="22"/>
                <w:szCs w:val="22"/>
              </w:rPr>
            </w:pPr>
          </w:p>
        </w:tc>
      </w:tr>
    </w:tbl>
    <w:p w14:paraId="526122F4" w14:textId="77777777" w:rsidR="0035031A" w:rsidRPr="00A475C6" w:rsidRDefault="0035031A" w:rsidP="0035031A">
      <w:pPr>
        <w:pStyle w:val="TableFootnote"/>
        <w:rPr>
          <w:b w:val="0"/>
          <w:sz w:val="24"/>
          <w:szCs w:val="24"/>
        </w:rPr>
      </w:pPr>
      <w:r>
        <w:rPr>
          <w:b w:val="0"/>
          <w:bCs/>
          <w:sz w:val="24"/>
          <w:szCs w:val="36"/>
        </w:rPr>
        <w:t xml:space="preserve">Notes: </w:t>
      </w:r>
      <w:r w:rsidRPr="00A475C6">
        <w:rPr>
          <w:b w:val="0"/>
          <w:sz w:val="24"/>
          <w:szCs w:val="24"/>
        </w:rPr>
        <w:t xml:space="preserve">ACE, autoclaved citrate extractable protein index; AWC, available water capacity; K, potassium; OM, organic matter loss on ignition; P, phosphorus; </w:t>
      </w:r>
      <w:proofErr w:type="spellStart"/>
      <w:r w:rsidRPr="00A475C6">
        <w:rPr>
          <w:b w:val="0"/>
          <w:sz w:val="24"/>
          <w:szCs w:val="24"/>
        </w:rPr>
        <w:t>Resp</w:t>
      </w:r>
      <w:proofErr w:type="spellEnd"/>
      <w:r w:rsidRPr="00A475C6">
        <w:rPr>
          <w:b w:val="0"/>
          <w:sz w:val="24"/>
          <w:szCs w:val="24"/>
        </w:rPr>
        <w:t xml:space="preserve"> 24 </w:t>
      </w:r>
      <w:proofErr w:type="spellStart"/>
      <w:r w:rsidRPr="00A475C6">
        <w:rPr>
          <w:b w:val="0"/>
          <w:sz w:val="24"/>
          <w:szCs w:val="24"/>
        </w:rPr>
        <w:t>hr</w:t>
      </w:r>
      <w:proofErr w:type="spellEnd"/>
      <w:r w:rsidRPr="00A475C6">
        <w:rPr>
          <w:b w:val="0"/>
          <w:sz w:val="24"/>
          <w:szCs w:val="24"/>
        </w:rPr>
        <w:t xml:space="preserve">, microbial respiration 24-hour incubation; </w:t>
      </w:r>
      <w:r w:rsidRPr="008E025E">
        <w:rPr>
          <w:b w:val="0"/>
          <w:sz w:val="24"/>
          <w:szCs w:val="24"/>
        </w:rPr>
        <w:t xml:space="preserve">POX-C, permanganate oxidizable carbon; </w:t>
      </w:r>
      <w:proofErr w:type="spellStart"/>
      <w:r w:rsidRPr="00A475C6">
        <w:rPr>
          <w:b w:val="0"/>
          <w:sz w:val="24"/>
          <w:szCs w:val="24"/>
        </w:rPr>
        <w:t>Resp</w:t>
      </w:r>
      <w:proofErr w:type="spellEnd"/>
      <w:r w:rsidRPr="00A475C6">
        <w:rPr>
          <w:b w:val="0"/>
          <w:sz w:val="24"/>
          <w:szCs w:val="24"/>
        </w:rPr>
        <w:t xml:space="preserve"> 96 </w:t>
      </w:r>
      <w:proofErr w:type="spellStart"/>
      <w:r w:rsidRPr="00A475C6">
        <w:rPr>
          <w:b w:val="0"/>
          <w:sz w:val="24"/>
          <w:szCs w:val="24"/>
        </w:rPr>
        <w:t>hr</w:t>
      </w:r>
      <w:proofErr w:type="spellEnd"/>
      <w:r w:rsidRPr="00A475C6">
        <w:rPr>
          <w:b w:val="0"/>
          <w:sz w:val="24"/>
          <w:szCs w:val="24"/>
        </w:rPr>
        <w:t>, microbial respiration 96-hour incubation; WAS, wet aggregate stability; WEOC, water-extractable organic carbon; WEON, water-extractable organic nitrogen. SMAF, Soil Management Assessment Framework; CASH, Comprehensive Assessment of Soil Health; HSHT, Haney Soil Health Tool.</w:t>
      </w:r>
    </w:p>
    <w:p w14:paraId="7386BE55" w14:textId="77777777" w:rsidR="0035031A" w:rsidRDefault="0035031A" w:rsidP="0035031A">
      <w:pPr>
        <w:pStyle w:val="TableFootnote"/>
        <w:rPr>
          <w:b w:val="0"/>
          <w:bCs/>
          <w:sz w:val="24"/>
          <w:szCs w:val="24"/>
        </w:rPr>
      </w:pPr>
      <w:r>
        <w:t>†</w:t>
      </w:r>
      <w:r w:rsidRPr="00432FD7">
        <w:rPr>
          <w:b w:val="0"/>
          <w:bCs/>
          <w:sz w:val="24"/>
          <w:szCs w:val="24"/>
        </w:rPr>
        <w:t xml:space="preserve"> </w:t>
      </w:r>
      <w:r>
        <w:rPr>
          <w:b w:val="0"/>
          <w:bCs/>
          <w:sz w:val="24"/>
          <w:szCs w:val="24"/>
        </w:rPr>
        <w:t>+</w:t>
      </w:r>
      <w:r w:rsidRPr="00432FD7">
        <w:rPr>
          <w:b w:val="0"/>
          <w:bCs/>
          <w:sz w:val="24"/>
          <w:szCs w:val="24"/>
        </w:rPr>
        <w:t>Significant at the 0.</w:t>
      </w:r>
      <w:r>
        <w:rPr>
          <w:b w:val="0"/>
          <w:bCs/>
          <w:sz w:val="24"/>
          <w:szCs w:val="24"/>
        </w:rPr>
        <w:t>1</w:t>
      </w:r>
      <w:r w:rsidRPr="00432FD7">
        <w:rPr>
          <w:b w:val="0"/>
          <w:bCs/>
          <w:sz w:val="24"/>
          <w:szCs w:val="24"/>
        </w:rPr>
        <w:t xml:space="preserve"> probability level; *Significant at the 0.05 probability level; **Significant at the 0.01 probability level; ***Significant at the 0.001 probability level</w:t>
      </w:r>
      <w:r>
        <w:rPr>
          <w:b w:val="0"/>
          <w:bCs/>
          <w:sz w:val="24"/>
          <w:szCs w:val="24"/>
        </w:rPr>
        <w:t>; ns, not significant.</w:t>
      </w:r>
    </w:p>
    <w:p w14:paraId="1340BEF7" w14:textId="77777777" w:rsidR="0035031A" w:rsidRPr="00D54B47" w:rsidRDefault="0035031A" w:rsidP="0035031A">
      <w:pPr>
        <w:pStyle w:val="TableFootnote"/>
        <w:rPr>
          <w:b w:val="0"/>
          <w:bCs/>
          <w:sz w:val="28"/>
          <w:szCs w:val="28"/>
        </w:rPr>
      </w:pPr>
      <w:r w:rsidRPr="00D54B47">
        <w:rPr>
          <w:sz w:val="24"/>
          <w:szCs w:val="24"/>
        </w:rPr>
        <w:t>‡</w:t>
      </w:r>
      <w:r w:rsidRPr="00D54B47">
        <w:rPr>
          <w:b w:val="0"/>
          <w:bCs/>
          <w:sz w:val="24"/>
          <w:szCs w:val="24"/>
        </w:rPr>
        <w:t xml:space="preserve"> </w:t>
      </w:r>
      <w:r>
        <w:rPr>
          <w:b w:val="0"/>
          <w:bCs/>
          <w:sz w:val="24"/>
          <w:szCs w:val="24"/>
        </w:rPr>
        <w:t>O</w:t>
      </w:r>
      <w:r w:rsidRPr="00D54B47">
        <w:rPr>
          <w:b w:val="0"/>
          <w:bCs/>
          <w:sz w:val="24"/>
          <w:szCs w:val="24"/>
        </w:rPr>
        <w:t>nly 34 sites were used in the OM analysis</w:t>
      </w:r>
      <w:r>
        <w:rPr>
          <w:b w:val="0"/>
          <w:bCs/>
          <w:sz w:val="24"/>
          <w:szCs w:val="24"/>
        </w:rPr>
        <w:t xml:space="preserve"> d</w:t>
      </w:r>
      <w:r w:rsidRPr="00D54B47">
        <w:rPr>
          <w:b w:val="0"/>
          <w:bCs/>
          <w:sz w:val="24"/>
          <w:szCs w:val="24"/>
        </w:rPr>
        <w:t>ue to missing values.</w:t>
      </w:r>
    </w:p>
    <w:p w14:paraId="1907B26F" w14:textId="77777777" w:rsidR="00F617B3" w:rsidRDefault="00F617B3"/>
    <w:p w14:paraId="75CCC71D" w14:textId="77777777" w:rsidR="00665CC8" w:rsidRDefault="00665CC8"/>
    <w:p w14:paraId="06BAA38A" w14:textId="77777777" w:rsidR="00665CC8" w:rsidRDefault="00665CC8"/>
    <w:p w14:paraId="1AECF2B0" w14:textId="6C2F1029" w:rsidR="00665CC8" w:rsidRPr="00256573" w:rsidRDefault="00665CC8">
      <w:pPr>
        <w:rPr>
          <w:b/>
          <w:bCs/>
        </w:rPr>
      </w:pPr>
      <w:r w:rsidRPr="00256573">
        <w:rPr>
          <w:b/>
          <w:bCs/>
        </w:rPr>
        <w:lastRenderedPageBreak/>
        <w:t>References</w:t>
      </w:r>
      <w:r w:rsidR="00256573">
        <w:rPr>
          <w:b/>
          <w:bCs/>
        </w:rPr>
        <w:t xml:space="preserve"> cited</w:t>
      </w:r>
    </w:p>
    <w:sdt>
      <w:sdtPr>
        <w:tag w:val="MENDELEY_BIBLIOGRAPHY"/>
        <w:id w:val="761644362"/>
        <w:placeholder>
          <w:docPart w:val="DefaultPlaceholder_-1854013440"/>
        </w:placeholder>
      </w:sdtPr>
      <w:sdtEndPr/>
      <w:sdtContent>
        <w:p w14:paraId="7B8DF066" w14:textId="77777777" w:rsidR="007403B6" w:rsidRDefault="007403B6">
          <w:pPr>
            <w:autoSpaceDE w:val="0"/>
            <w:autoSpaceDN w:val="0"/>
            <w:ind w:hanging="480"/>
            <w:divId w:val="489366423"/>
          </w:pPr>
          <w:proofErr w:type="spellStart"/>
          <w:r>
            <w:t>Cambardella</w:t>
          </w:r>
          <w:proofErr w:type="spellEnd"/>
          <w:r>
            <w:t xml:space="preserve">, C. A., </w:t>
          </w:r>
          <w:proofErr w:type="spellStart"/>
          <w:r>
            <w:t>Gajda</w:t>
          </w:r>
          <w:proofErr w:type="spellEnd"/>
          <w:r>
            <w:t xml:space="preserve">, A. M., Doran, J. W., </w:t>
          </w:r>
          <w:proofErr w:type="spellStart"/>
          <w:r>
            <w:t>Wienhold</w:t>
          </w:r>
          <w:proofErr w:type="spellEnd"/>
          <w:r>
            <w:t xml:space="preserve">, B. J., &amp; Kettler, T. A. (2001). Estimation of Particulate and Total Organic Matter by Weight Loss-on-Ignition. In L. R., K. J.M., F. R.F., &amp; S. B.A. (Eds.), </w:t>
          </w:r>
          <w:r>
            <w:rPr>
              <w:i/>
              <w:iCs/>
            </w:rPr>
            <w:t>Assessment Methods for Soil Carbon</w:t>
          </w:r>
          <w:r>
            <w:t xml:space="preserve"> (pp. 349–359). CRC Press.</w:t>
          </w:r>
        </w:p>
        <w:p w14:paraId="0F4C7763" w14:textId="77777777" w:rsidR="007403B6" w:rsidRDefault="007403B6">
          <w:pPr>
            <w:autoSpaceDE w:val="0"/>
            <w:autoSpaceDN w:val="0"/>
            <w:ind w:hanging="480"/>
            <w:divId w:val="1873031949"/>
          </w:pPr>
          <w:r>
            <w:t xml:space="preserve">Haney, R. L. (2020). </w:t>
          </w:r>
          <w:r>
            <w:rPr>
              <w:i/>
              <w:iCs/>
            </w:rPr>
            <w:t>Soil Health Tool (SHT) version 4.7</w:t>
          </w:r>
          <w:r>
            <w:t>. https://www.nrcs.usda.gov/wps/PA_NRCSConsumption/download/?cid=nrcseprd338485&amp;ext=pdf</w:t>
          </w:r>
        </w:p>
        <w:p w14:paraId="038CCE09" w14:textId="77777777" w:rsidR="007403B6" w:rsidRDefault="007403B6">
          <w:pPr>
            <w:autoSpaceDE w:val="0"/>
            <w:autoSpaceDN w:val="0"/>
            <w:ind w:hanging="480"/>
            <w:divId w:val="474881290"/>
          </w:pPr>
          <w:proofErr w:type="spellStart"/>
          <w:r>
            <w:t>Schindelbeck</w:t>
          </w:r>
          <w:proofErr w:type="spellEnd"/>
          <w:r>
            <w:t xml:space="preserve">, R. R., Moebius-Clune, B. N., Moebius-Clune, D. J., Kurtz, K. S., &amp; van Es, H. M. (2016). </w:t>
          </w:r>
          <w:r>
            <w:rPr>
              <w:i/>
              <w:iCs/>
            </w:rPr>
            <w:t>Cornell University Comprehensive Assessment of Soil Health Laboratory Standard Operating Procedures</w:t>
          </w:r>
          <w:r>
            <w:t>.</w:t>
          </w:r>
        </w:p>
        <w:p w14:paraId="4BC8E42B" w14:textId="77777777" w:rsidR="007403B6" w:rsidRDefault="007403B6">
          <w:pPr>
            <w:autoSpaceDE w:val="0"/>
            <w:autoSpaceDN w:val="0"/>
            <w:ind w:hanging="480"/>
            <w:divId w:val="405567968"/>
          </w:pPr>
          <w:r>
            <w:t xml:space="preserve">Soil and Plant Analysis Council, Inc. (1999). </w:t>
          </w:r>
          <w:proofErr w:type="spellStart"/>
          <w:r>
            <w:t>Mehlich</w:t>
          </w:r>
          <w:proofErr w:type="spellEnd"/>
          <w:r>
            <w:t xml:space="preserve"> No. 3 Extraction. In </w:t>
          </w:r>
          <w:r>
            <w:rPr>
              <w:i/>
              <w:iCs/>
            </w:rPr>
            <w:t>Soil Analysis Handbook of Reference Methods</w:t>
          </w:r>
          <w:r>
            <w:t xml:space="preserve"> (pp. 80–127). CRC Press.</w:t>
          </w:r>
        </w:p>
        <w:p w14:paraId="74E62899" w14:textId="77777777" w:rsidR="007403B6" w:rsidRDefault="007403B6">
          <w:pPr>
            <w:autoSpaceDE w:val="0"/>
            <w:autoSpaceDN w:val="0"/>
            <w:ind w:hanging="480"/>
            <w:divId w:val="1013384496"/>
          </w:pPr>
          <w:r>
            <w:t xml:space="preserve">Ward Laboratories. (2020). </w:t>
          </w:r>
          <w:r>
            <w:rPr>
              <w:i/>
              <w:iCs/>
            </w:rPr>
            <w:t>Haney Test Interpretation Guide v1.0</w:t>
          </w:r>
          <w:r>
            <w:t>. https://www.wardlab.com/wp-content/uploads/2020/06/Haney-Rev-1.0-Interpretation-Guide-PDF.pdf</w:t>
          </w:r>
        </w:p>
        <w:p w14:paraId="3CB073C3" w14:textId="77777777" w:rsidR="007403B6" w:rsidRDefault="007403B6">
          <w:pPr>
            <w:autoSpaceDE w:val="0"/>
            <w:autoSpaceDN w:val="0"/>
            <w:ind w:hanging="480"/>
            <w:divId w:val="358046651"/>
          </w:pPr>
          <w:proofErr w:type="spellStart"/>
          <w:r>
            <w:t>Warncke</w:t>
          </w:r>
          <w:proofErr w:type="spellEnd"/>
          <w:r>
            <w:t xml:space="preserve">, D., &amp; Brown, J. R. (1998). Potassium and Other Basic Cations. In </w:t>
          </w:r>
          <w:r>
            <w:rPr>
              <w:i/>
              <w:iCs/>
            </w:rPr>
            <w:t>Recommended Chemical Soil Test Procedures for the North Central Region Publication No. 221 (revised)</w:t>
          </w:r>
          <w:r>
            <w:t xml:space="preserve"> (pp. 31–33). University of Missouri Ag. Exp. Station.</w:t>
          </w:r>
        </w:p>
        <w:p w14:paraId="5855D52F" w14:textId="77777777" w:rsidR="007403B6" w:rsidRDefault="007403B6">
          <w:pPr>
            <w:autoSpaceDE w:val="0"/>
            <w:autoSpaceDN w:val="0"/>
            <w:ind w:hanging="480"/>
            <w:divId w:val="915016789"/>
          </w:pPr>
          <w:r>
            <w:t xml:space="preserve">Watson, M. E., &amp; Brown, J. R. (1998). pH and Lime Requirement. In J. R. Brown (Ed.), </w:t>
          </w:r>
          <w:r>
            <w:rPr>
              <w:i/>
              <w:iCs/>
            </w:rPr>
            <w:t>Recommended Chemical Soil Test Procedures for the North Central Region Publication No. 221 (revised)</w:t>
          </w:r>
          <w:r>
            <w:t xml:space="preserve"> (pp. 13–16). University of Missouri Ag. Exp. Station.</w:t>
          </w:r>
        </w:p>
        <w:p w14:paraId="4B3A0642" w14:textId="6FE041A4" w:rsidR="00665CC8" w:rsidRDefault="007403B6">
          <w:r>
            <w:t> </w:t>
          </w:r>
        </w:p>
      </w:sdtContent>
    </w:sdt>
    <w:sectPr w:rsidR="00665CC8" w:rsidSect="009E3E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B3B4D" w14:textId="77777777" w:rsidR="00000000" w:rsidRDefault="00266C81">
      <w:r>
        <w:separator/>
      </w:r>
    </w:p>
  </w:endnote>
  <w:endnote w:type="continuationSeparator" w:id="0">
    <w:p w14:paraId="3DA2CC9D" w14:textId="77777777" w:rsidR="00000000" w:rsidRDefault="0026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4963148"/>
      <w:docPartObj>
        <w:docPartGallery w:val="Page Numbers (Bottom of Page)"/>
        <w:docPartUnique/>
      </w:docPartObj>
    </w:sdtPr>
    <w:sdtEndPr>
      <w:rPr>
        <w:rStyle w:val="PageNumber"/>
      </w:rPr>
    </w:sdtEndPr>
    <w:sdtContent>
      <w:p w14:paraId="3195825C" w14:textId="77777777" w:rsidR="005558E1" w:rsidRDefault="00DE72CA" w:rsidP="007B5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B6CDC0" w14:textId="77777777" w:rsidR="005558E1" w:rsidRPr="00E60724" w:rsidRDefault="00DE72CA" w:rsidP="007E0896">
    <w:pPr>
      <w:ind w:right="360"/>
      <w:jc w:val="center"/>
    </w:pPr>
    <w:r>
      <w:t xml:space="preserve">Page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7128191"/>
      <w:docPartObj>
        <w:docPartGallery w:val="Page Numbers (Bottom of Page)"/>
        <w:docPartUnique/>
      </w:docPartObj>
    </w:sdtPr>
    <w:sdtEndPr>
      <w:rPr>
        <w:rStyle w:val="PageNumber"/>
      </w:rPr>
    </w:sdtEndPr>
    <w:sdtContent>
      <w:p w14:paraId="26D01E1D" w14:textId="77777777" w:rsidR="005558E1" w:rsidRDefault="00DE72CA" w:rsidP="007B5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6C81">
          <w:rPr>
            <w:rStyle w:val="PageNumber"/>
            <w:noProof/>
          </w:rPr>
          <w:t>6</w:t>
        </w:r>
        <w:r>
          <w:rPr>
            <w:rStyle w:val="PageNumber"/>
          </w:rPr>
          <w:fldChar w:fldCharType="end"/>
        </w:r>
      </w:p>
    </w:sdtContent>
  </w:sdt>
  <w:p w14:paraId="19200BF0" w14:textId="77777777" w:rsidR="005558E1" w:rsidRPr="00E60724" w:rsidRDefault="00266C81" w:rsidP="007E0896">
    <w:pP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B2043" w14:textId="77777777" w:rsidR="005558E1" w:rsidRPr="00E60724" w:rsidRDefault="00DE72CA" w:rsidP="00A36619">
    <w:pP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F71CF" w14:textId="77777777" w:rsidR="00000000" w:rsidRDefault="00266C81">
      <w:r>
        <w:separator/>
      </w:r>
    </w:p>
  </w:footnote>
  <w:footnote w:type="continuationSeparator" w:id="0">
    <w:p w14:paraId="5BBB400D" w14:textId="77777777" w:rsidR="00000000" w:rsidRDefault="00266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AB56A" w14:textId="77777777" w:rsidR="005558E1" w:rsidRPr="00E60724" w:rsidRDefault="00DE72CA" w:rsidP="00A36619">
    <w:pPr>
      <w:jc w:val="center"/>
    </w:pPr>
    <w:r w:rsidRPr="00E60724">
      <w:t xml:space="preserve">Publisher: AGRONOMY; Journal: </w:t>
    </w:r>
    <w:proofErr w:type="spellStart"/>
    <w:r w:rsidRPr="00E60724">
      <w:t>AGROJNL:Agronomy</w:t>
    </w:r>
    <w:proofErr w:type="spellEnd"/>
    <w:r w:rsidRPr="00E60724">
      <w:t xml:space="preserve"> Journal; Copyright: Will notify...</w:t>
    </w:r>
  </w:p>
  <w:p w14:paraId="083E7961" w14:textId="77777777" w:rsidR="005558E1" w:rsidRPr="00E60724" w:rsidRDefault="00DE72CA" w:rsidP="00A36619">
    <w:pPr>
      <w:jc w:val="center"/>
    </w:pPr>
    <w:r w:rsidRPr="00E60724">
      <w:t>Volume: Will notify...; Issue: Will notify...; Manuscript: aj-2017-08-0123-a; DOI: ; PII: &lt;</w:t>
    </w:r>
    <w:proofErr w:type="spellStart"/>
    <w:r w:rsidRPr="00E60724">
      <w:t>txtPII</w:t>
    </w:r>
    <w:proofErr w:type="spellEnd"/>
    <w:r w:rsidRPr="00E60724">
      <w:t>&gt;</w:t>
    </w:r>
  </w:p>
  <w:p w14:paraId="5FC337DB" w14:textId="77777777" w:rsidR="005558E1" w:rsidRPr="00E60724" w:rsidRDefault="00DE72CA" w:rsidP="00A36619">
    <w:pPr>
      <w:jc w:val="center"/>
    </w:pPr>
    <w:r w:rsidRPr="00E60724">
      <w:t>TOC Head: ; Section Head: ; Article Type: ARTICLE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19B98" w14:textId="77777777" w:rsidR="005558E1" w:rsidRPr="00E60724" w:rsidRDefault="00266C81" w:rsidP="00A36619">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E666" w14:textId="77777777" w:rsidR="005558E1" w:rsidRPr="00E60724" w:rsidRDefault="00DE72CA" w:rsidP="00A36619">
    <w:pPr>
      <w:jc w:val="center"/>
    </w:pPr>
    <w:r w:rsidRPr="00E60724">
      <w:t xml:space="preserve">Publisher: AGRONOMY; Journal: </w:t>
    </w:r>
    <w:proofErr w:type="spellStart"/>
    <w:r w:rsidRPr="00E60724">
      <w:t>AGROJNL:Agronomy</w:t>
    </w:r>
    <w:proofErr w:type="spellEnd"/>
    <w:r w:rsidRPr="00E60724">
      <w:t xml:space="preserve"> Journal; Copyright: Will notify...</w:t>
    </w:r>
  </w:p>
  <w:p w14:paraId="5A7CB3E4" w14:textId="77777777" w:rsidR="005558E1" w:rsidRPr="00E60724" w:rsidRDefault="00DE72CA" w:rsidP="00A36619">
    <w:pPr>
      <w:jc w:val="center"/>
    </w:pPr>
    <w:r w:rsidRPr="00E60724">
      <w:t>Volume: Will notify...; Issue: Will notify...; Manuscript: aj-2017-08-0123-a; DOI: ; PII: &lt;</w:t>
    </w:r>
    <w:proofErr w:type="spellStart"/>
    <w:r w:rsidRPr="00E60724">
      <w:t>txtPII</w:t>
    </w:r>
    <w:proofErr w:type="spellEnd"/>
    <w:r w:rsidRPr="00E60724">
      <w:t>&gt;</w:t>
    </w:r>
  </w:p>
  <w:p w14:paraId="7D0E0DB0" w14:textId="77777777" w:rsidR="005558E1" w:rsidRPr="00E60724" w:rsidRDefault="00DE72CA" w:rsidP="00A36619">
    <w:pPr>
      <w:jc w:val="center"/>
    </w:pPr>
    <w:r w:rsidRPr="00E60724">
      <w:t>TOC Head: ; Section Head: ; Article Type: ARTICLE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1A"/>
    <w:rsid w:val="001B407F"/>
    <w:rsid w:val="001E0254"/>
    <w:rsid w:val="00256573"/>
    <w:rsid w:val="00266C81"/>
    <w:rsid w:val="002D1383"/>
    <w:rsid w:val="0035031A"/>
    <w:rsid w:val="003B356E"/>
    <w:rsid w:val="00405B77"/>
    <w:rsid w:val="0044350D"/>
    <w:rsid w:val="00553213"/>
    <w:rsid w:val="005C037D"/>
    <w:rsid w:val="006057DF"/>
    <w:rsid w:val="00665CC8"/>
    <w:rsid w:val="007045FA"/>
    <w:rsid w:val="007403B6"/>
    <w:rsid w:val="00856F67"/>
    <w:rsid w:val="009374A8"/>
    <w:rsid w:val="00984532"/>
    <w:rsid w:val="00C809CF"/>
    <w:rsid w:val="00D73336"/>
    <w:rsid w:val="00DE72CA"/>
    <w:rsid w:val="00E27B42"/>
    <w:rsid w:val="00E8379D"/>
    <w:rsid w:val="00F617B3"/>
    <w:rsid w:val="00F8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04FA"/>
  <w15:chartTrackingRefBased/>
  <w15:docId w15:val="{EA6325D2-B4EA-714D-8858-1F7BD5CA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3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35031A"/>
    <w:pPr>
      <w:keepNext/>
      <w:spacing w:before="240"/>
      <w:jc w:val="center"/>
      <w:outlineLvl w:val="0"/>
    </w:pPr>
    <w:rPr>
      <w:b/>
      <w:caps/>
      <w:kern w:val="28"/>
      <w:sz w:val="28"/>
      <w:szCs w:val="20"/>
    </w:rPr>
  </w:style>
  <w:style w:type="paragraph" w:customStyle="1" w:styleId="ParaText">
    <w:name w:val="Para_Text"/>
    <w:link w:val="ParaTextChar"/>
    <w:rsid w:val="0035031A"/>
    <w:pPr>
      <w:widowControl w:val="0"/>
      <w:spacing w:before="120" w:line="480" w:lineRule="auto"/>
      <w:ind w:firstLine="360"/>
    </w:pPr>
    <w:rPr>
      <w:rFonts w:ascii="Times New Roman" w:eastAsia="Times New Roman" w:hAnsi="Times New Roman" w:cs="Times New Roman"/>
      <w:szCs w:val="20"/>
    </w:rPr>
  </w:style>
  <w:style w:type="paragraph" w:customStyle="1" w:styleId="TableBody">
    <w:name w:val="Table_Body"/>
    <w:basedOn w:val="Normal"/>
    <w:rsid w:val="0035031A"/>
    <w:rPr>
      <w:sz w:val="20"/>
      <w:szCs w:val="20"/>
    </w:rPr>
  </w:style>
  <w:style w:type="paragraph" w:customStyle="1" w:styleId="TableFootnote">
    <w:name w:val="Table_Footnote"/>
    <w:basedOn w:val="Normal"/>
    <w:rsid w:val="0035031A"/>
    <w:pPr>
      <w:spacing w:before="120"/>
    </w:pPr>
    <w:rPr>
      <w:b/>
      <w:sz w:val="20"/>
      <w:szCs w:val="20"/>
    </w:rPr>
  </w:style>
  <w:style w:type="paragraph" w:customStyle="1" w:styleId="TableHead">
    <w:name w:val="Table_Head"/>
    <w:basedOn w:val="Normal"/>
    <w:rsid w:val="0035031A"/>
    <w:pPr>
      <w:jc w:val="center"/>
    </w:pPr>
    <w:rPr>
      <w:b/>
      <w:sz w:val="20"/>
      <w:szCs w:val="20"/>
    </w:rPr>
  </w:style>
  <w:style w:type="paragraph" w:customStyle="1" w:styleId="TableTitle">
    <w:name w:val="Table_Title"/>
    <w:basedOn w:val="Normal"/>
    <w:rsid w:val="0035031A"/>
    <w:pPr>
      <w:spacing w:before="240" w:after="120"/>
    </w:pPr>
    <w:rPr>
      <w:b/>
      <w:sz w:val="20"/>
      <w:szCs w:val="20"/>
    </w:rPr>
  </w:style>
  <w:style w:type="character" w:customStyle="1" w:styleId="ParaTextChar">
    <w:name w:val="Para_Text Char"/>
    <w:basedOn w:val="DefaultParagraphFont"/>
    <w:link w:val="ParaText"/>
    <w:rsid w:val="0035031A"/>
    <w:rPr>
      <w:rFonts w:ascii="Times New Roman" w:eastAsia="Times New Roman" w:hAnsi="Times New Roman" w:cs="Times New Roman"/>
      <w:szCs w:val="20"/>
    </w:rPr>
  </w:style>
  <w:style w:type="paragraph" w:styleId="Footer">
    <w:name w:val="footer"/>
    <w:basedOn w:val="Normal"/>
    <w:link w:val="FooterChar"/>
    <w:uiPriority w:val="99"/>
    <w:unhideWhenUsed/>
    <w:rsid w:val="0035031A"/>
    <w:pPr>
      <w:tabs>
        <w:tab w:val="center" w:pos="4680"/>
        <w:tab w:val="right" w:pos="9360"/>
      </w:tabs>
    </w:pPr>
  </w:style>
  <w:style w:type="character" w:customStyle="1" w:styleId="FooterChar">
    <w:name w:val="Footer Char"/>
    <w:basedOn w:val="DefaultParagraphFont"/>
    <w:link w:val="Footer"/>
    <w:uiPriority w:val="99"/>
    <w:rsid w:val="0035031A"/>
    <w:rPr>
      <w:rFonts w:ascii="Times New Roman" w:eastAsia="Times New Roman" w:hAnsi="Times New Roman" w:cs="Times New Roman"/>
    </w:rPr>
  </w:style>
  <w:style w:type="table" w:styleId="PlainTable4">
    <w:name w:val="Plain Table 4"/>
    <w:basedOn w:val="TableNormal"/>
    <w:uiPriority w:val="44"/>
    <w:rsid w:val="0035031A"/>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5031A"/>
  </w:style>
  <w:style w:type="character" w:styleId="LineNumber">
    <w:name w:val="line number"/>
    <w:basedOn w:val="DefaultParagraphFont"/>
    <w:uiPriority w:val="99"/>
    <w:semiHidden/>
    <w:unhideWhenUsed/>
    <w:rsid w:val="0035031A"/>
  </w:style>
  <w:style w:type="character" w:styleId="PlaceholderText">
    <w:name w:val="Placeholder Text"/>
    <w:basedOn w:val="DefaultParagraphFont"/>
    <w:uiPriority w:val="99"/>
    <w:semiHidden/>
    <w:rsid w:val="002565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11600">
      <w:bodyDiv w:val="1"/>
      <w:marLeft w:val="0"/>
      <w:marRight w:val="0"/>
      <w:marTop w:val="0"/>
      <w:marBottom w:val="0"/>
      <w:divBdr>
        <w:top w:val="none" w:sz="0" w:space="0" w:color="auto"/>
        <w:left w:val="none" w:sz="0" w:space="0" w:color="auto"/>
        <w:bottom w:val="none" w:sz="0" w:space="0" w:color="auto"/>
        <w:right w:val="none" w:sz="0" w:space="0" w:color="auto"/>
      </w:divBdr>
      <w:divsChild>
        <w:div w:id="1193375060">
          <w:marLeft w:val="480"/>
          <w:marRight w:val="0"/>
          <w:marTop w:val="0"/>
          <w:marBottom w:val="0"/>
          <w:divBdr>
            <w:top w:val="none" w:sz="0" w:space="0" w:color="auto"/>
            <w:left w:val="none" w:sz="0" w:space="0" w:color="auto"/>
            <w:bottom w:val="none" w:sz="0" w:space="0" w:color="auto"/>
            <w:right w:val="none" w:sz="0" w:space="0" w:color="auto"/>
          </w:divBdr>
        </w:div>
        <w:div w:id="889389952">
          <w:marLeft w:val="480"/>
          <w:marRight w:val="0"/>
          <w:marTop w:val="0"/>
          <w:marBottom w:val="0"/>
          <w:divBdr>
            <w:top w:val="none" w:sz="0" w:space="0" w:color="auto"/>
            <w:left w:val="none" w:sz="0" w:space="0" w:color="auto"/>
            <w:bottom w:val="none" w:sz="0" w:space="0" w:color="auto"/>
            <w:right w:val="none" w:sz="0" w:space="0" w:color="auto"/>
          </w:divBdr>
        </w:div>
        <w:div w:id="1159342276">
          <w:marLeft w:val="480"/>
          <w:marRight w:val="0"/>
          <w:marTop w:val="0"/>
          <w:marBottom w:val="0"/>
          <w:divBdr>
            <w:top w:val="none" w:sz="0" w:space="0" w:color="auto"/>
            <w:left w:val="none" w:sz="0" w:space="0" w:color="auto"/>
            <w:bottom w:val="none" w:sz="0" w:space="0" w:color="auto"/>
            <w:right w:val="none" w:sz="0" w:space="0" w:color="auto"/>
          </w:divBdr>
        </w:div>
        <w:div w:id="2030830503">
          <w:marLeft w:val="480"/>
          <w:marRight w:val="0"/>
          <w:marTop w:val="0"/>
          <w:marBottom w:val="0"/>
          <w:divBdr>
            <w:top w:val="none" w:sz="0" w:space="0" w:color="auto"/>
            <w:left w:val="none" w:sz="0" w:space="0" w:color="auto"/>
            <w:bottom w:val="none" w:sz="0" w:space="0" w:color="auto"/>
            <w:right w:val="none" w:sz="0" w:space="0" w:color="auto"/>
          </w:divBdr>
        </w:div>
        <w:div w:id="561138838">
          <w:marLeft w:val="480"/>
          <w:marRight w:val="0"/>
          <w:marTop w:val="0"/>
          <w:marBottom w:val="0"/>
          <w:divBdr>
            <w:top w:val="none" w:sz="0" w:space="0" w:color="auto"/>
            <w:left w:val="none" w:sz="0" w:space="0" w:color="auto"/>
            <w:bottom w:val="none" w:sz="0" w:space="0" w:color="auto"/>
            <w:right w:val="none" w:sz="0" w:space="0" w:color="auto"/>
          </w:divBdr>
        </w:div>
        <w:div w:id="633486287">
          <w:marLeft w:val="480"/>
          <w:marRight w:val="0"/>
          <w:marTop w:val="0"/>
          <w:marBottom w:val="0"/>
          <w:divBdr>
            <w:top w:val="none" w:sz="0" w:space="0" w:color="auto"/>
            <w:left w:val="none" w:sz="0" w:space="0" w:color="auto"/>
            <w:bottom w:val="none" w:sz="0" w:space="0" w:color="auto"/>
            <w:right w:val="none" w:sz="0" w:space="0" w:color="auto"/>
          </w:divBdr>
        </w:div>
      </w:divsChild>
    </w:div>
    <w:div w:id="611479150">
      <w:bodyDiv w:val="1"/>
      <w:marLeft w:val="0"/>
      <w:marRight w:val="0"/>
      <w:marTop w:val="0"/>
      <w:marBottom w:val="0"/>
      <w:divBdr>
        <w:top w:val="none" w:sz="0" w:space="0" w:color="auto"/>
        <w:left w:val="none" w:sz="0" w:space="0" w:color="auto"/>
        <w:bottom w:val="none" w:sz="0" w:space="0" w:color="auto"/>
        <w:right w:val="none" w:sz="0" w:space="0" w:color="auto"/>
      </w:divBdr>
      <w:divsChild>
        <w:div w:id="489366423">
          <w:marLeft w:val="480"/>
          <w:marRight w:val="0"/>
          <w:marTop w:val="0"/>
          <w:marBottom w:val="0"/>
          <w:divBdr>
            <w:top w:val="none" w:sz="0" w:space="0" w:color="auto"/>
            <w:left w:val="none" w:sz="0" w:space="0" w:color="auto"/>
            <w:bottom w:val="none" w:sz="0" w:space="0" w:color="auto"/>
            <w:right w:val="none" w:sz="0" w:space="0" w:color="auto"/>
          </w:divBdr>
        </w:div>
        <w:div w:id="1873031949">
          <w:marLeft w:val="480"/>
          <w:marRight w:val="0"/>
          <w:marTop w:val="0"/>
          <w:marBottom w:val="0"/>
          <w:divBdr>
            <w:top w:val="none" w:sz="0" w:space="0" w:color="auto"/>
            <w:left w:val="none" w:sz="0" w:space="0" w:color="auto"/>
            <w:bottom w:val="none" w:sz="0" w:space="0" w:color="auto"/>
            <w:right w:val="none" w:sz="0" w:space="0" w:color="auto"/>
          </w:divBdr>
        </w:div>
        <w:div w:id="474881290">
          <w:marLeft w:val="480"/>
          <w:marRight w:val="0"/>
          <w:marTop w:val="0"/>
          <w:marBottom w:val="0"/>
          <w:divBdr>
            <w:top w:val="none" w:sz="0" w:space="0" w:color="auto"/>
            <w:left w:val="none" w:sz="0" w:space="0" w:color="auto"/>
            <w:bottom w:val="none" w:sz="0" w:space="0" w:color="auto"/>
            <w:right w:val="none" w:sz="0" w:space="0" w:color="auto"/>
          </w:divBdr>
        </w:div>
        <w:div w:id="405567968">
          <w:marLeft w:val="480"/>
          <w:marRight w:val="0"/>
          <w:marTop w:val="0"/>
          <w:marBottom w:val="0"/>
          <w:divBdr>
            <w:top w:val="none" w:sz="0" w:space="0" w:color="auto"/>
            <w:left w:val="none" w:sz="0" w:space="0" w:color="auto"/>
            <w:bottom w:val="none" w:sz="0" w:space="0" w:color="auto"/>
            <w:right w:val="none" w:sz="0" w:space="0" w:color="auto"/>
          </w:divBdr>
        </w:div>
        <w:div w:id="1013384496">
          <w:marLeft w:val="480"/>
          <w:marRight w:val="0"/>
          <w:marTop w:val="0"/>
          <w:marBottom w:val="0"/>
          <w:divBdr>
            <w:top w:val="none" w:sz="0" w:space="0" w:color="auto"/>
            <w:left w:val="none" w:sz="0" w:space="0" w:color="auto"/>
            <w:bottom w:val="none" w:sz="0" w:space="0" w:color="auto"/>
            <w:right w:val="none" w:sz="0" w:space="0" w:color="auto"/>
          </w:divBdr>
        </w:div>
        <w:div w:id="358046651">
          <w:marLeft w:val="480"/>
          <w:marRight w:val="0"/>
          <w:marTop w:val="0"/>
          <w:marBottom w:val="0"/>
          <w:divBdr>
            <w:top w:val="none" w:sz="0" w:space="0" w:color="auto"/>
            <w:left w:val="none" w:sz="0" w:space="0" w:color="auto"/>
            <w:bottom w:val="none" w:sz="0" w:space="0" w:color="auto"/>
            <w:right w:val="none" w:sz="0" w:space="0" w:color="auto"/>
          </w:divBdr>
        </w:div>
        <w:div w:id="915016789">
          <w:marLeft w:val="480"/>
          <w:marRight w:val="0"/>
          <w:marTop w:val="0"/>
          <w:marBottom w:val="0"/>
          <w:divBdr>
            <w:top w:val="none" w:sz="0" w:space="0" w:color="auto"/>
            <w:left w:val="none" w:sz="0" w:space="0" w:color="auto"/>
            <w:bottom w:val="none" w:sz="0" w:space="0" w:color="auto"/>
            <w:right w:val="none" w:sz="0" w:space="0" w:color="auto"/>
          </w:divBdr>
        </w:div>
      </w:divsChild>
    </w:div>
    <w:div w:id="825702961">
      <w:bodyDiv w:val="1"/>
      <w:marLeft w:val="0"/>
      <w:marRight w:val="0"/>
      <w:marTop w:val="0"/>
      <w:marBottom w:val="0"/>
      <w:divBdr>
        <w:top w:val="none" w:sz="0" w:space="0" w:color="auto"/>
        <w:left w:val="none" w:sz="0" w:space="0" w:color="auto"/>
        <w:bottom w:val="none" w:sz="0" w:space="0" w:color="auto"/>
        <w:right w:val="none" w:sz="0" w:space="0" w:color="auto"/>
      </w:divBdr>
    </w:div>
    <w:div w:id="1508863258">
      <w:bodyDiv w:val="1"/>
      <w:marLeft w:val="0"/>
      <w:marRight w:val="0"/>
      <w:marTop w:val="0"/>
      <w:marBottom w:val="0"/>
      <w:divBdr>
        <w:top w:val="none" w:sz="0" w:space="0" w:color="auto"/>
        <w:left w:val="none" w:sz="0" w:space="0" w:color="auto"/>
        <w:bottom w:val="none" w:sz="0" w:space="0" w:color="auto"/>
        <w:right w:val="none" w:sz="0" w:space="0" w:color="auto"/>
      </w:divBdr>
      <w:divsChild>
        <w:div w:id="300841835">
          <w:marLeft w:val="0"/>
          <w:marRight w:val="0"/>
          <w:marTop w:val="0"/>
          <w:marBottom w:val="0"/>
          <w:divBdr>
            <w:top w:val="none" w:sz="0" w:space="0" w:color="auto"/>
            <w:left w:val="none" w:sz="0" w:space="0" w:color="auto"/>
            <w:bottom w:val="none" w:sz="0" w:space="0" w:color="auto"/>
            <w:right w:val="none" w:sz="0" w:space="0" w:color="auto"/>
          </w:divBdr>
          <w:divsChild>
            <w:div w:id="2108647255">
              <w:marLeft w:val="0"/>
              <w:marRight w:val="0"/>
              <w:marTop w:val="0"/>
              <w:marBottom w:val="0"/>
              <w:divBdr>
                <w:top w:val="none" w:sz="0" w:space="0" w:color="auto"/>
                <w:left w:val="none" w:sz="0" w:space="0" w:color="auto"/>
                <w:bottom w:val="none" w:sz="0" w:space="0" w:color="auto"/>
                <w:right w:val="none" w:sz="0" w:space="0" w:color="auto"/>
              </w:divBdr>
              <w:divsChild>
                <w:div w:id="4506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7A4E98CEE231458CF54BED2A6DA48E"/>
        <w:category>
          <w:name w:val="General"/>
          <w:gallery w:val="placeholder"/>
        </w:category>
        <w:types>
          <w:type w:val="bbPlcHdr"/>
        </w:types>
        <w:behaviors>
          <w:behavior w:val="content"/>
        </w:behaviors>
        <w:guid w:val="{D9E3C142-16D8-FF44-AC8F-CE9F9739DFF2}"/>
      </w:docPartPr>
      <w:docPartBody>
        <w:p w:rsidR="00AA7223" w:rsidRDefault="00046514" w:rsidP="00046514">
          <w:pPr>
            <w:pStyle w:val="F17A4E98CEE231458CF54BED2A6DA48E"/>
          </w:pPr>
          <w:r w:rsidRPr="00E2672C">
            <w:rPr>
              <w:rStyle w:val="PlaceholderText"/>
            </w:rPr>
            <w:t>Click or tap here to enter text.</w:t>
          </w:r>
        </w:p>
      </w:docPartBody>
    </w:docPart>
    <w:docPart>
      <w:docPartPr>
        <w:name w:val="C93B98862C661047A473270CA7A78A4A"/>
        <w:category>
          <w:name w:val="General"/>
          <w:gallery w:val="placeholder"/>
        </w:category>
        <w:types>
          <w:type w:val="bbPlcHdr"/>
        </w:types>
        <w:behaviors>
          <w:behavior w:val="content"/>
        </w:behaviors>
        <w:guid w:val="{52CDF00D-DEE9-5A43-A207-F2E7602D885B}"/>
      </w:docPartPr>
      <w:docPartBody>
        <w:p w:rsidR="00AA7223" w:rsidRDefault="00046514" w:rsidP="00046514">
          <w:pPr>
            <w:pStyle w:val="C93B98862C661047A473270CA7A78A4A"/>
          </w:pPr>
          <w:r w:rsidRPr="00E2672C">
            <w:rPr>
              <w:rStyle w:val="PlaceholderText"/>
            </w:rPr>
            <w:t>Click or tap here to enter text.</w:t>
          </w:r>
        </w:p>
      </w:docPartBody>
    </w:docPart>
    <w:docPart>
      <w:docPartPr>
        <w:name w:val="F15D77EFEE08864EBE1F346A1E56262C"/>
        <w:category>
          <w:name w:val="General"/>
          <w:gallery w:val="placeholder"/>
        </w:category>
        <w:types>
          <w:type w:val="bbPlcHdr"/>
        </w:types>
        <w:behaviors>
          <w:behavior w:val="content"/>
        </w:behaviors>
        <w:guid w:val="{258762B0-EEDA-5C46-A5D8-D964D7073E0B}"/>
      </w:docPartPr>
      <w:docPartBody>
        <w:p w:rsidR="00AA7223" w:rsidRDefault="00046514" w:rsidP="00046514">
          <w:pPr>
            <w:pStyle w:val="F15D77EFEE08864EBE1F346A1E56262C"/>
          </w:pPr>
          <w:r w:rsidRPr="00E2672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44AD273-4B33-C241-A15A-865554D9D7D5}"/>
      </w:docPartPr>
      <w:docPartBody>
        <w:p w:rsidR="00AA7223" w:rsidRDefault="00046514">
          <w:r w:rsidRPr="00B06F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14"/>
    <w:rsid w:val="00046514"/>
    <w:rsid w:val="00AA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514"/>
    <w:rPr>
      <w:color w:val="808080"/>
    </w:rPr>
  </w:style>
  <w:style w:type="paragraph" w:customStyle="1" w:styleId="F17A4E98CEE231458CF54BED2A6DA48E">
    <w:name w:val="F17A4E98CEE231458CF54BED2A6DA48E"/>
    <w:rsid w:val="00046514"/>
  </w:style>
  <w:style w:type="paragraph" w:customStyle="1" w:styleId="C93B98862C661047A473270CA7A78A4A">
    <w:name w:val="C93B98862C661047A473270CA7A78A4A"/>
    <w:rsid w:val="00046514"/>
  </w:style>
  <w:style w:type="paragraph" w:customStyle="1" w:styleId="F15D77EFEE08864EBE1F346A1E56262C">
    <w:name w:val="F15D77EFEE08864EBE1F346A1E56262C"/>
    <w:rsid w:val="00046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3A6382-B59A-CE46-AB97-24C0AF45CD7D}">
  <we:reference id="wa104382081" version="1.46.0.0" store="en-US" storeType="OMEX"/>
  <we:alternateReferences>
    <we:reference id="WA104382081" version="1.46.0.0" store="" storeType="OMEX"/>
  </we:alternateReferences>
  <we:properties>
    <we:property name="MENDELEY_CITATIONS" value="[{&quot;citationID&quot;:&quot;MENDELEY_CITATION_905a412e-a045-48e2-9129-b75f1e82811f&quot;,&quot;properties&quot;:{&quot;noteIndex&quot;:0},&quot;isEdited&quot;:false,&quot;manualOverride&quot;:{&quot;citeprocText&quot;:&quot;(Schindelbeck et al., 2016)&quot;,&quot;isManuallyOverriden&quot;:true,&quot;manualOverrideText&quot;:&quot;Schindelbeck et al. 2016&quot;,&quot;isManuallyOverridden&quot;:true},&quot;citationTag&quot;:&quot;MENDELEY_CITATION_v3_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&quot;,&quot;citationItems&quot;:[{&quot;id&quot;:&quot;a26a524d-c175-3dde-90ed-bc573076a6ba&quot;,&quot;itemData&quot;:{&quot;abstract&quot;:&quot;This laboratory manual contains the Standard Operating Procedures (SOP’S) for the suite of physical and biological soil analyses offered in the Standard Soil Health Analysis from Cornell University’s Comprehensive Assessment of Soil Health Laboratory for 2016. Correct&quot;,&quot;author&quot;:[{&quot;dropping-particle&quot;:&quot;&quot;,&quot;family&quot;:&quot;Schindelbeck&quot;,&quot;given&quot;:&quot;R.R.&quot;,&quot;non-dropping-particle&quot;:&quot;&quot;,&quot;parse-names&quot;:false,&quot;suffix&quot;:&quot;&quot;},{&quot;dropping-particle&quot;:&quot;&quot;,&quot;family&quot;:&quot;Moebius-Clune&quot;,&quot;given&quot;:&quot;B.N.&quot;,&quot;non-dropping-particle&quot;:&quot;&quot;,&quot;parse-names&quot;:false,&quot;suffix&quot;:&quot;&quot;},{&quot;dropping-particle&quot;:&quot;&quot;,&quot;family&quot;:&quot;Moebius-Clune&quot;,&quot;given&quot;:&quot;Dan J.&quot;,&quot;non-dropping-particle&quot;:&quot;&quot;,&quot;parse-names&quot;:false,&quot;suffix&quot;:&quot;&quot;},{&quot;dropping-particle&quot;:&quot;&quot;,&quot;family&quot;:&quot;Kurtz&quot;,&quot;given&quot;:&quot;K.S.&quot;,&quot;non-dropping-particle&quot;:&quot;&quot;,&quot;parse-names&quot;:false,&quot;suffix&quot;:&quot;&quot;},{&quot;dropping-particle&quot;:&quot;&quot;,&quot;family&quot;:&quot;Es&quot;,&quot;given&quot;:&quot;Harold M.&quot;,&quot;non-dropping-particle&quot;:&quot;van&quot;,&quot;parse-names&quot;:false,&quot;suffix&quot;:&quot;&quot;}],&quot;id&quot;:&quot;a26a524d-c175-3dde-90ed-bc573076a6ba&quot;,&quot;issue&quot;:&quot;February&quot;,&quot;issued&quot;:{&quot;date-parts&quot;:[[&quot;2016&quot;]]},&quot;page&quot;:&quot;31-38&quot;,&quot;title&quot;:&quot;Cornell University Comprehensive Assessment of Soil Health Laboratory Standard Operating Procedures&quot;,&quot;type&quot;:&quot;article-journal&quot;,&quot;container-title-short&quot;:&quot;&quot;},&quot;uris&quot;:[&quot;http://www.mendeley.com/documents/?uuid=b4fa1bff-cfdc-48db-a034-620bc9888f8d&quot;],&quot;isTemporary&quot;:false,&quot;legacyDesktopId&quot;:&quot;b4fa1bff-cfdc-48db-a034-620bc9888f8d&quot;}]},{&quot;citationID&quot;:&quot;MENDELEY_CITATION_3454a241-50e5-4e4e-92e7-035f11f2f53b&quot;,&quot;properties&quot;:{&quot;noteIndex&quot;:0},&quot;isEdited&quot;:false,&quot;manualOverride&quot;:{&quot;citeprocText&quot;:&quot;(Cambardella et al., 2001)&quot;,&quot;isManuallyOverriden&quot;:true,&quot;manualOverrideText&quot;:&quot;Cambardella et al. 2001&quot;,&quot;isManuallyOverridden&quot;:true},&quot;citationTag&quot;:&quot;MENDELEY_CITATION_v3_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&quot;,&quot;citationItems&quot;:[{&quot;id&quot;:&quot;e9dc9ef2-a3d1-3a7f-b28e-95ee624676af&quot;,&quot;itemData&quot;:{&quot;author&quot;:[{&quot;dropping-particle&quot;:&quot;&quot;,&quot;family&quot;:&quot;Cambardella&quot;,&quot;given&quot;:&quot;C.A.&quot;,&quot;non-dropping-particle&quot;:&quot;&quot;,&quot;parse-names&quot;:false,&quot;suffix&quot;:&quot;&quot;},{&quot;dropping-particle&quot;:&quot;&quot;,&quot;family&quot;:&quot;Gajda&quot;,&quot;given&quot;:&quot;A.M.&quot;,&quot;non-dropping-particle&quot;:&quot;&quot;,&quot;parse-names&quot;:false,&quot;suffix&quot;:&quot;&quot;},{&quot;dropping-particle&quot;:&quot;&quot;,&quot;family&quot;:&quot;Doran&quot;,&quot;given&quot;:&quot;J.W.&quot;,&quot;non-dropping-particle&quot;:&quot;&quot;,&quot;parse-names&quot;:false,&quot;suffix&quot;:&quot;&quot;},{&quot;dropping-particle&quot;:&quot;&quot;,&quot;family&quot;:&quot;Wienhold&quot;,&quot;given&quot;:&quot;B.J.&quot;,&quot;non-dropping-particle&quot;:&quot;&quot;,&quot;parse-names&quot;:false,&quot;suffix&quot;:&quot;&quot;},{&quot;dropping-particle&quot;:&quot;&quot;,&quot;family&quot;:&quot;Kettler&quot;,&quot;given&quot;:&quot;T.A.&quot;,&quot;non-dropping-particle&quot;:&quot;&quot;,&quot;parse-names&quot;:false,&quot;suffix&quot;:&quot;&quot;}],&quot;container-title&quot;:&quot;Assessment Methods for Soil Carbon&quot;,&quot;editor&quot;:[{&quot;dropping-particle&quot;:&quot;&quot;,&quot;family&quot;:&quot;R.&quot;,&quot;given&quot;:&quot;Lal&quot;,&quot;non-dropping-particle&quot;:&quot;&quot;,&quot;parse-names&quot;:false,&quot;suffix&quot;:&quot;&quot;},{&quot;dropping-particle&quot;:&quot;&quot;,&quot;family&quot;:&quot;J.M.&quot;,&quot;given&quot;:&quot;Kimble&quot;,&quot;non-dropping-particle&quot;:&quot;&quot;,&quot;parse-names&quot;:false,&quot;suffix&quot;:&quot;&quot;},{&quot;dropping-particle&quot;:&quot;&quot;,&quot;family&quot;:&quot;R.F.&quot;,&quot;given&quot;:&quot;Follett&quot;,&quot;non-dropping-particle&quot;:&quot;&quot;,&quot;parse-names&quot;:false,&quot;suffix&quot;:&quot;&quot;},{&quot;dropping-particle&quot;:&quot;&quot;,&quot;family&quot;:&quot;B.A.&quot;,&quot;given&quot;:&quot;Stewart&quot;,&quot;non-dropping-particle&quot;:&quot;&quot;,&quot;parse-names&quot;:false,&quot;suffix&quot;:&quot;&quot;}],&quot;id&quot;:&quot;e9dc9ef2-a3d1-3a7f-b28e-95ee624676af&quot;,&quot;issued&quot;:{&quot;date-parts&quot;:[[&quot;2001&quot;]]},&quot;page&quot;:&quot;349-359&quot;,&quot;publisher&quot;:&quot;CRC Press&quot;,&quot;publisher-place&quot;:&quot;Boca Raton, FL&quot;,&quot;title&quot;:&quot;Estimation of Particulate and Total Organic Matter by Weight Loss-on-Ignition&quot;,&quot;type&quot;:&quot;chapter&quot;,&quot;container-title-short&quot;:&quot;&quot;},&quot;uris&quot;:[&quot;http://www.mendeley.com/documents/?uuid=301e8e4d-6294-40c1-b99a-ca1c0ea663b0&quot;],&quot;isTemporary&quot;:false,&quot;legacyDesktopId&quot;:&quot;301e8e4d-6294-40c1-b99a-ca1c0ea663b0&quot;}]},{&quot;citationID&quot;:&quot;MENDELEY_CITATION_51c1abc3-e540-4b8e-9cfb-68621907506d&quot;,&quot;properties&quot;:{&quot;noteIndex&quot;:0},&quot;isEdited&quot;:false,&quot;manualOverride&quot;:{&quot;citeprocText&quot;:&quot;(Haney, 2020; Ward Laboratories, 2020)&quot;,&quot;isManuallyOverriden&quot;:false,&quot;manualOverrideText&quot;:&quot;Haney 2020, Ward Laboratories 2020&quot;,&quot;isManuallyOverridden&quot;:true},&quot;citationTag&quot;:&quot;MENDELEY_CITATION_v3_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&quot;,&quot;citationItems&quot;:[{&quot;id&quot;:&quot;f111f720-56f2-3575-8f19-d4ebed631ece&quot;,&quot;itemData&quot;:{&quot;author&quot;:[{&quot;dropping-particle&quot;:&quot;&quot;,&quot;family&quot;:&quot;Haney&quot;,&quot;given&quot;:&quot;R.L.&quot;,&quot;non-dropping-particle&quot;:&quot;&quot;,&quot;parse-names&quot;:false,&quot;suffix&quot;:&quot;&quot;}],&quot;id&quot;:&quot;f111f720-56f2-3575-8f19-d4ebed631ece&quot;,&quot;issued&quot;:{&quot;date-parts&quot;:[[&quot;2020&quot;]]},&quot;number-of-pages&quot;:&quot;11&quot;,&quot;title&quot;:&quot;Soil Health Tool (SHT) version 4.7&quot;,&quot;type&quot;:&quot;report&quot;,&quot;container-title-short&quot;:&quot;&quot;},&quot;uris&quot;:[&quot;http://www.mendeley.com/documents/?uuid=2c71cd90-c41c-4509-be37-c78726f5d5dd&quot;],&quot;isTemporary&quot;:false,&quot;legacyDesktopId&quot;:&quot;2c71cd90-c41c-4509-be37-c78726f5d5dd&quot;},{&quot;id&quot;:&quot;ff23b5ee-fb7c-3407-85f6-08f447866c79&quot;,&quot;itemData&quot;:{&quot;author&quot;:[{&quot;dropping-particle&quot;:&quot;&quot;,&quot;family&quot;:&quot;Ward Laboratories&quot;,&quot;given&quot;:&quot;&quot;,&quot;non-dropping-particle&quot;:&quot;&quot;,&quot;parse-names&quot;:false,&quot;suffix&quot;:&quot;&quot;}],&quot;id&quot;:&quot;ff23b5ee-fb7c-3407-85f6-08f447866c79&quot;,&quot;issued&quot;:{&quot;date-parts&quot;:[[&quot;2020&quot;]]},&quot;number-of-pages&quot;:&quot;11&quot;,&quot;title&quot;:&quot;Haney Test Interpretation Guide v1.0&quot;,&quot;type&quot;:&quot;report&quot;,&quot;container-title-short&quot;:&quot;&quot;},&quot;uris&quot;:[&quot;http://www.mendeley.com/documents/?uuid=12ee1337-a133-4d11-8e09-90ccef65e363&quot;],&quot;isTemporary&quot;:false,&quot;legacyDesktopId&quot;:&quot;12ee1337-a133-4d11-8e09-90ccef65e363&quot;}]},{&quot;citationID&quot;:&quot;MENDELEY_CITATION_746ea55b-856d-4cb3-9670-a6715941e183&quot;,&quot;properties&quot;:{&quot;noteIndex&quot;:0},&quot;isEdited&quot;:false,&quot;manualOverride&quot;:{&quot;citeprocText&quot;:&quot;(Haney, 2020; Ward Laboratories, 2020)&quot;,&quot;isManuallyOverriden&quot;:false,&quot;manualOverrideText&quot;:&quot;Haney 2020, Ward Laboratories 2020&quot;,&quot;isManuallyOverridden&quot;:true},&quot;citationTag&quot;:&quot;MENDELEY_CITATION_v3_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&quot;,&quot;citationItems&quot;:[{&quot;id&quot;:&quot;f111f720-56f2-3575-8f19-d4ebed631ece&quot;,&quot;itemData&quot;:{&quot;author&quot;:[{&quot;dropping-particle&quot;:&quot;&quot;,&quot;family&quot;:&quot;Haney&quot;,&quot;given&quot;:&quot;R.L.&quot;,&quot;non-dropping-particle&quot;:&quot;&quot;,&quot;parse-names&quot;:false,&quot;suffix&quot;:&quot;&quot;}],&quot;id&quot;:&quot;f111f720-56f2-3575-8f19-d4ebed631ece&quot;,&quot;issued&quot;:{&quot;date-parts&quot;:[[&quot;2020&quot;]]},&quot;number-of-pages&quot;:&quot;11&quot;,&quot;title&quot;:&quot;Soil Health Tool (SHT) version 4.7&quot;,&quot;type&quot;:&quot;report&quot;,&quot;container-title-short&quot;:&quot;&quot;},&quot;uris&quot;:[&quot;http://www.mendeley.com/documents/?uuid=2c71cd90-c41c-4509-be37-c78726f5d5dd&quot;],&quot;isTemporary&quot;:false,&quot;legacyDesktopId&quot;:&quot;2c71cd90-c41c-4509-be37-c78726f5d5dd&quot;},{&quot;id&quot;:&quot;ff23b5ee-fb7c-3407-85f6-08f447866c79&quot;,&quot;itemData&quot;:{&quot;author&quot;:[{&quot;dropping-particle&quot;:&quot;&quot;,&quot;family&quot;:&quot;Ward Laboratories&quot;,&quot;given&quot;:&quot;&quot;,&quot;non-dropping-particle&quot;:&quot;&quot;,&quot;parse-names&quot;:false,&quot;suffix&quot;:&quot;&quot;}],&quot;id&quot;:&quot;ff23b5ee-fb7c-3407-85f6-08f447866c79&quot;,&quot;issued&quot;:{&quot;date-parts&quot;:[[&quot;2020&quot;]]},&quot;number-of-pages&quot;:&quot;11&quot;,&quot;title&quot;:&quot;Haney Test Interpretation Guide v1.0&quot;,&quot;type&quot;:&quot;report&quot;,&quot;container-title-short&quot;:&quot;&quot;},&quot;uris&quot;:[&quot;http://www.mendeley.com/documents/?uuid=12ee1337-a133-4d11-8e09-90ccef65e363&quot;],&quot;isTemporary&quot;:false,&quot;legacyDesktopId&quot;:&quot;12ee1337-a133-4d11-8e09-90ccef65e363&quot;}]},{&quot;citationID&quot;:&quot;MENDELEY_CITATION_16c51a05-ef77-4ece-8d6b-eddb54d02e4e&quot;,&quot;properties&quot;:{&quot;noteIndex&quot;:0},&quot;isEdited&quot;:false,&quot;manualOverride&quot;:{&quot;citeprocText&quot;:&quot;(Haney, 2020; Ward Laboratories, 2020)&quot;,&quot;isManuallyOverriden&quot;:false,&quot;manualOverrideText&quot;:&quot;Haney 2020, Ward Laboratories 2020&quot;,&quot;isManuallyOverridden&quot;:true},&quot;citationTag&quot;:&quot;MENDELEY_CITATION_v3_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&quot;,&quot;citationItems&quot;:[{&quot;id&quot;:&quot;f111f720-56f2-3575-8f19-d4ebed631ece&quot;,&quot;itemData&quot;:{&quot;author&quot;:[{&quot;dropping-particle&quot;:&quot;&quot;,&quot;family&quot;:&quot;Haney&quot;,&quot;given&quot;:&quot;R.L.&quot;,&quot;non-dropping-particle&quot;:&quot;&quot;,&quot;parse-names&quot;:false,&quot;suffix&quot;:&quot;&quot;}],&quot;id&quot;:&quot;f111f720-56f2-3575-8f19-d4ebed631ece&quot;,&quot;issued&quot;:{&quot;date-parts&quot;:[[&quot;2020&quot;]]},&quot;number-of-pages&quot;:&quot;11&quot;,&quot;title&quot;:&quot;Soil Health Tool (SHT) version 4.7&quot;,&quot;type&quot;:&quot;report&quot;,&quot;container-title-short&quot;:&quot;&quot;},&quot;uris&quot;:[&quot;http://www.mendeley.com/documents/?uuid=2c71cd90-c41c-4509-be37-c78726f5d5dd&quot;],&quot;isTemporary&quot;:false,&quot;legacyDesktopId&quot;:&quot;2c71cd90-c41c-4509-be37-c78726f5d5dd&quot;},{&quot;id&quot;:&quot;ff23b5ee-fb7c-3407-85f6-08f447866c79&quot;,&quot;itemData&quot;:{&quot;author&quot;:[{&quot;dropping-particle&quot;:&quot;&quot;,&quot;family&quot;:&quot;Ward Laboratories&quot;,&quot;given&quot;:&quot;&quot;,&quot;non-dropping-particle&quot;:&quot;&quot;,&quot;parse-names&quot;:false,&quot;suffix&quot;:&quot;&quot;}],&quot;id&quot;:&quot;ff23b5ee-fb7c-3407-85f6-08f447866c79&quot;,&quot;issued&quot;:{&quot;date-parts&quot;:[[&quot;2020&quot;]]},&quot;number-of-pages&quot;:&quot;11&quot;,&quot;title&quot;:&quot;Haney Test Interpretation Guide v1.0&quot;,&quot;type&quot;:&quot;report&quot;,&quot;container-title-short&quot;:&quot;&quot;},&quot;uris&quot;:[&quot;http://www.mendeley.com/documents/?uuid=12ee1337-a133-4d11-8e09-90ccef65e363&quot;],&quot;isTemporary&quot;:false,&quot;legacyDesktopId&quot;:&quot;12ee1337-a133-4d11-8e09-90ccef65e363&quot;}]},{&quot;citationID&quot;:&quot;MENDELEY_CITATION_cef793ab-883f-4103-b6a6-2e48b306965f&quot;,&quot;properties&quot;:{&quot;noteIndex&quot;:0},&quot;isEdited&quot;:false,&quot;manualOverride&quot;:{&quot;citeprocText&quot;:&quot;(Watson &amp;#38; Brown, 1998)&quot;,&quot;isManuallyOverriden&quot;:true,&quot;manualOverrideText&quot;:&quot;Watson and Brown 1998&quot;,&quot;isManuallyOverridden&quot;:true},&quot;citationTag&quot;:&quot;MENDELEY_CITATION_v3_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&quot;,&quot;citationItems&quot;:[{&quot;id&quot;:&quot;ec8de435-df79-364e-bc42-6442bc19b966&quot;,&quot;itemData&quot;:{&quot;author&quot;:[{&quot;dropping-particle&quot;:&quot;&quot;,&quot;family&quot;:&quot;Watson&quot;,&quot;given&quot;:&quot;M.E.&quot;,&quot;non-dropping-particle&quot;:&quot;&quot;,&quot;parse-names&quot;:false,&quot;suffix&quot;:&quot;&quot;},{&quot;dropping-particle&quot;:&quot;&quot;,&quot;family&quot;:&quot;Brown&quot;,&quot;given&quot;:&quot;J.R.&quot;,&quot;non-dropping-particle&quot;:&quot;&quot;,&quot;parse-names&quot;:false,&quot;suffix&quot;:&quot;&quot;}],&quot;container-title&quot;:&quot;Recommended Chemical Soil Test Procedures for the North Central Region Publication No. 221 (revised)&quot;,&quot;editor&quot;:[{&quot;dropping-particle&quot;:&quot;&quot;,&quot;family&quot;:&quot;Brown&quot;,&quot;given&quot;:&quot;J.R.&quot;,&quot;non-dropping-particle&quot;:&quot;&quot;,&quot;parse-names&quot;:false,&quot;suffix&quot;:&quot;&quot;}],&quot;id&quot;:&quot;ec8de435-df79-364e-bc42-6442bc19b966&quot;,&quot;issued&quot;:{&quot;date-parts&quot;:[[&quot;1998&quot;]]},&quot;page&quot;:&quot;13-16&quot;,&quot;publisher&quot;:&quot;University of Missouri Ag. Exp. Station&quot;,&quot;publisher-place&quot;:&quot;Columbia, MO&quot;,&quot;title&quot;:&quot;pH and Lime Requirement&quot;,&quot;type&quot;:&quot;chapter&quot;,&quot;container-title-short&quot;:&quot;&quot;},&quot;uris&quot;:[&quot;http://www.mendeley.com/documents/?uuid=7cb4af01-e5b3-40b4-a284-ffeac3980ad3&quot;],&quot;isTemporary&quot;:false,&quot;legacyDesktopId&quot;:&quot;7cb4af01-e5b3-40b4-a284-ffeac3980ad3&quot;}]},{&quot;citationID&quot;:&quot;MENDELEY_CITATION_72a7101a-e056-4343-b013-161ba1d671e3&quot;,&quot;properties&quot;:{&quot;noteIndex&quot;:0},&quot;isEdited&quot;:false,&quot;manualOverride&quot;:{&quot;isManuallyOverridden&quot;:false,&quot;citeprocText&quot;:&quot;(Soil and Plant Analysis Council, 1999)&quot;,&quot;manualOverrideText&quot;:&quot;&quot;},&quot;citationTag&quot;:&quot;MENDELEY_CITATION_v3_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&quot;,&quot;citationItems&quot;:[{&quot;id&quot;:&quot;488b5715-6b4c-3dc1-a2cb-ecf2ae53d151&quot;,&quot;itemData&quot;:{&quot;type&quot;:&quot;chapter&quot;,&quot;id&quot;:&quot;488b5715-6b4c-3dc1-a2cb-ecf2ae53d151&quot;,&quot;title&quot;:&quot;Mehlich No. 3 Extraction&quot;,&quot;author&quot;:[{&quot;family&quot;:&quot;Soil and Plant Analysis Council&quot;,&quot;given&quot;:&quot;Inc.&quot;,&quot;parse-names&quot;:false,&quot;dropping-particle&quot;:&quot;&quot;,&quot;non-dropping-particle&quot;:&quot;&quot;}],&quot;container-title&quot;:&quot;Soil Analysis Handbook of Reference Methods&quot;,&quot;issued&quot;:{&quot;date-parts&quot;:[[1999]]},&quot;publisher-place&quot;:&quot;Boca Raton, FL&quot;,&quot;page&quot;:&quot;80-127&quot;,&quot;publisher&quot;:&quot;CRC Press&quot;,&quot;container-title-short&quot;:&quot;&quot;},&quot;isTemporary&quot;:false}]},{&quot;citationID&quot;:&quot;MENDELEY_CITATION_8897e308-e497-4da4-8408-261d97462662&quot;,&quot;properties&quot;:{&quot;noteIndex&quot;:0},&quot;isEdited&quot;:false,&quot;manualOverride&quot;:{&quot;isManuallyOverridden&quot;:true,&quot;citeprocText&quot;:&quot;(Warncke &amp;#38; Brown, 1998)&quot;,&quot;manualOverrideText&quot;:&quot;Warncke and Brown 1998&quot;},&quot;citationTag&quot;:&quot;MENDELEY_CITATION_v3_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&quot;,&quot;citationItems&quot;:[{&quot;id&quot;:&quot;b0de0e3a-30e7-3038-9d01-9927cf51e783&quot;,&quot;itemData&quot;:{&quot;type&quot;:&quot;chapter&quot;,&quot;id&quot;:&quot;b0de0e3a-30e7-3038-9d01-9927cf51e783&quot;,&quot;title&quot;:&quot;Potassium and Other Basic Cations&quot;,&quot;author&quot;:[{&quot;family&quot;:&quot;Warncke&quot;,&quot;given&quot;:&quot;D.&quot;,&quot;parse-names&quot;:false,&quot;dropping-particle&quot;:&quot;&quot;,&quot;non-dropping-particle&quot;:&quot;&quot;},{&quot;family&quot;:&quot;Brown&quot;,&quot;given&quot;:&quot;J.R.&quot;,&quot;parse-names&quot;:false,&quot;dropping-particle&quot;:&quot;&quot;,&quot;non-dropping-particle&quot;:&quot;&quot;}],&quot;container-title&quot;:&quot;Recommended Chemical Soil Test Procedures for the North Central Region Publication No. 221 (revised)&quot;,&quot;issued&quot;:{&quot;date-parts&quot;:[[1998]]},&quot;publisher-place&quot;:&quot;Columbia, MO&quot;,&quot;page&quot;:&quot;31-33&quot;,&quot;publisher&quot;:&quot;University of Missouri Ag. Exp. Station&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CD5E-3C9F-4D72-9ED0-B52D82C3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Crookston</dc:creator>
  <cp:keywords/>
  <dc:description/>
  <cp:lastModifiedBy>Annie Binder</cp:lastModifiedBy>
  <cp:revision>19</cp:revision>
  <dcterms:created xsi:type="dcterms:W3CDTF">2023-02-10T16:28:00Z</dcterms:created>
  <dcterms:modified xsi:type="dcterms:W3CDTF">2023-03-16T13:18:00Z</dcterms:modified>
</cp:coreProperties>
</file>